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4879"/>
      </w:tblGrid>
      <w:tr w:rsidR="003437D0" w:rsidRPr="0086186A" w14:paraId="4D293515" w14:textId="77777777" w:rsidTr="002174D7">
        <w:trPr>
          <w:trHeight w:val="222"/>
          <w:jc w:val="center"/>
        </w:trPr>
        <w:tc>
          <w:tcPr>
            <w:tcW w:w="3539" w:type="dxa"/>
            <w:shd w:val="clear" w:color="auto" w:fill="auto"/>
          </w:tcPr>
          <w:p w14:paraId="558395B2" w14:textId="77777777" w:rsidR="003437D0" w:rsidRPr="0086186A" w:rsidRDefault="005B45F5" w:rsidP="00D8786F">
            <w:pPr>
              <w:spacing w:after="0" w:line="240" w:lineRule="auto"/>
              <w:jc w:val="both"/>
              <w:rPr>
                <w:rFonts w:cs="Times New Roman"/>
                <w:b/>
                <w:noProof/>
                <w:sz w:val="20"/>
                <w:szCs w:val="20"/>
                <w:lang w:val="hr-HR"/>
              </w:rPr>
            </w:pPr>
            <w:r w:rsidRPr="0086186A">
              <w:rPr>
                <w:rFonts w:cs="Times New Roman"/>
                <w:b/>
                <w:noProof/>
                <w:sz w:val="20"/>
                <w:szCs w:val="20"/>
                <w:lang w:val="hr-HR"/>
              </w:rPr>
              <w:t>CCI</w:t>
            </w:r>
          </w:p>
        </w:tc>
        <w:tc>
          <w:tcPr>
            <w:tcW w:w="4879" w:type="dxa"/>
            <w:shd w:val="clear" w:color="auto" w:fill="auto"/>
          </w:tcPr>
          <w:p w14:paraId="3412B7FD" w14:textId="769399B7" w:rsidR="003437D0" w:rsidRPr="0086186A" w:rsidRDefault="00AF2D8C" w:rsidP="00D8786F">
            <w:pPr>
              <w:pStyle w:val="Default"/>
              <w:jc w:val="both"/>
              <w:rPr>
                <w:noProof/>
                <w:sz w:val="20"/>
                <w:szCs w:val="20"/>
                <w:lang w:val="hr-HR"/>
              </w:rPr>
            </w:pPr>
            <w:r w:rsidRPr="0086186A">
              <w:rPr>
                <w:bCs/>
                <w:sz w:val="20"/>
                <w:szCs w:val="20"/>
                <w:lang w:val="hr-HR"/>
              </w:rPr>
              <w:t xml:space="preserve">2021TC16RFCB007 </w:t>
            </w:r>
          </w:p>
        </w:tc>
      </w:tr>
      <w:tr w:rsidR="003437D0" w:rsidRPr="0086186A" w14:paraId="1FCD0B32" w14:textId="77777777" w:rsidTr="002174D7">
        <w:trPr>
          <w:trHeight w:val="269"/>
          <w:jc w:val="center"/>
        </w:trPr>
        <w:tc>
          <w:tcPr>
            <w:tcW w:w="3539" w:type="dxa"/>
            <w:shd w:val="clear" w:color="auto" w:fill="auto"/>
          </w:tcPr>
          <w:p w14:paraId="40E64E1B" w14:textId="474E90F9" w:rsidR="003437D0" w:rsidRPr="0086186A" w:rsidRDefault="002174D7" w:rsidP="00D8786F">
            <w:pPr>
              <w:spacing w:after="0" w:line="240" w:lineRule="auto"/>
              <w:jc w:val="both"/>
              <w:rPr>
                <w:rFonts w:cs="Times New Roman"/>
                <w:b/>
                <w:noProof/>
                <w:sz w:val="20"/>
                <w:szCs w:val="20"/>
                <w:lang w:val="hr-HR"/>
              </w:rPr>
            </w:pPr>
            <w:r w:rsidRPr="0086186A">
              <w:rPr>
                <w:rFonts w:cs="Times New Roman"/>
                <w:b/>
                <w:noProof/>
                <w:sz w:val="20"/>
                <w:szCs w:val="20"/>
                <w:lang w:val="hr-HR"/>
              </w:rPr>
              <w:t>Naslov</w:t>
            </w:r>
          </w:p>
        </w:tc>
        <w:tc>
          <w:tcPr>
            <w:tcW w:w="4879" w:type="dxa"/>
            <w:shd w:val="clear" w:color="auto" w:fill="auto"/>
          </w:tcPr>
          <w:p w14:paraId="11B42DD5" w14:textId="70E96E62" w:rsidR="003437D0" w:rsidRPr="0086186A" w:rsidRDefault="00AF2D8C" w:rsidP="00D8786F">
            <w:pPr>
              <w:pStyle w:val="Default"/>
              <w:jc w:val="both"/>
              <w:rPr>
                <w:bCs/>
                <w:sz w:val="20"/>
                <w:szCs w:val="20"/>
                <w:lang w:val="hr-HR"/>
              </w:rPr>
            </w:pPr>
            <w:r w:rsidRPr="0086186A">
              <w:rPr>
                <w:bCs/>
                <w:sz w:val="20"/>
                <w:szCs w:val="20"/>
                <w:lang w:val="hr-HR"/>
              </w:rPr>
              <w:t>(</w:t>
            </w:r>
            <w:proofErr w:type="spellStart"/>
            <w:r w:rsidRPr="0086186A">
              <w:rPr>
                <w:bCs/>
                <w:sz w:val="20"/>
                <w:szCs w:val="20"/>
                <w:lang w:val="hr-HR"/>
              </w:rPr>
              <w:t>Interreg</w:t>
            </w:r>
            <w:proofErr w:type="spellEnd"/>
            <w:r w:rsidRPr="0086186A">
              <w:rPr>
                <w:bCs/>
                <w:sz w:val="20"/>
                <w:szCs w:val="20"/>
                <w:lang w:val="hr-HR"/>
              </w:rPr>
              <w:t xml:space="preserve"> VI-A) </w:t>
            </w:r>
            <w:r w:rsidR="002174D7" w:rsidRPr="0086186A">
              <w:rPr>
                <w:bCs/>
                <w:sz w:val="20"/>
                <w:szCs w:val="20"/>
                <w:lang w:val="hr-HR"/>
              </w:rPr>
              <w:t>Mađarska-Hrvatska</w:t>
            </w:r>
          </w:p>
          <w:p w14:paraId="5E4F35BA" w14:textId="170EF4C2" w:rsidR="00611C84" w:rsidRPr="0086186A" w:rsidRDefault="002174D7" w:rsidP="00611C84">
            <w:pPr>
              <w:pStyle w:val="Default"/>
              <w:jc w:val="both"/>
              <w:rPr>
                <w:i/>
                <w:iCs/>
                <w:sz w:val="18"/>
                <w:szCs w:val="18"/>
                <w:lang w:val="hr-HR"/>
              </w:rPr>
            </w:pPr>
            <w:r w:rsidRPr="0086186A">
              <w:rPr>
                <w:i/>
                <w:iCs/>
                <w:sz w:val="18"/>
                <w:szCs w:val="18"/>
                <w:lang w:val="hr-HR"/>
              </w:rPr>
              <w:t>Naslov programa ne odražava suglasnost država članica u pogledu strukture upravljanja programom (važi za cijeli dokument).</w:t>
            </w:r>
          </w:p>
        </w:tc>
      </w:tr>
      <w:tr w:rsidR="003437D0" w:rsidRPr="0086186A" w14:paraId="4C215512" w14:textId="77777777" w:rsidTr="002174D7">
        <w:trPr>
          <w:trHeight w:val="138"/>
          <w:jc w:val="center"/>
        </w:trPr>
        <w:tc>
          <w:tcPr>
            <w:tcW w:w="3539" w:type="dxa"/>
            <w:shd w:val="clear" w:color="auto" w:fill="auto"/>
          </w:tcPr>
          <w:p w14:paraId="183342DA" w14:textId="0E6F9A79" w:rsidR="003437D0" w:rsidRPr="0086186A" w:rsidRDefault="002174D7" w:rsidP="00D8786F">
            <w:pPr>
              <w:spacing w:after="0" w:line="240" w:lineRule="auto"/>
              <w:jc w:val="both"/>
              <w:rPr>
                <w:rFonts w:cs="Times New Roman"/>
                <w:b/>
                <w:noProof/>
                <w:sz w:val="20"/>
                <w:szCs w:val="20"/>
                <w:lang w:val="hr-HR"/>
              </w:rPr>
            </w:pPr>
            <w:r w:rsidRPr="0086186A">
              <w:rPr>
                <w:rFonts w:cs="Times New Roman"/>
                <w:b/>
                <w:noProof/>
                <w:sz w:val="20"/>
                <w:szCs w:val="20"/>
                <w:lang w:val="hr-HR"/>
              </w:rPr>
              <w:t>Inačica</w:t>
            </w:r>
          </w:p>
        </w:tc>
        <w:tc>
          <w:tcPr>
            <w:tcW w:w="4879" w:type="dxa"/>
            <w:shd w:val="clear" w:color="auto" w:fill="auto"/>
          </w:tcPr>
          <w:p w14:paraId="019855D4" w14:textId="7C568FE2" w:rsidR="003437D0" w:rsidRPr="0086186A" w:rsidRDefault="007426CA" w:rsidP="00D8786F">
            <w:pPr>
              <w:spacing w:after="0" w:line="240" w:lineRule="auto"/>
              <w:jc w:val="both"/>
              <w:rPr>
                <w:rFonts w:cs="Times New Roman"/>
                <w:noProof/>
                <w:sz w:val="20"/>
                <w:szCs w:val="20"/>
                <w:lang w:val="hr-HR"/>
              </w:rPr>
            </w:pPr>
            <w:r w:rsidRPr="0086186A">
              <w:rPr>
                <w:rFonts w:cs="Times New Roman"/>
                <w:noProof/>
                <w:sz w:val="20"/>
                <w:szCs w:val="20"/>
                <w:lang w:val="hr-HR"/>
              </w:rPr>
              <w:t>1.0</w:t>
            </w:r>
          </w:p>
        </w:tc>
      </w:tr>
      <w:tr w:rsidR="003437D0" w:rsidRPr="0086186A" w14:paraId="4AB9BB50" w14:textId="77777777" w:rsidTr="002174D7">
        <w:trPr>
          <w:jc w:val="center"/>
        </w:trPr>
        <w:tc>
          <w:tcPr>
            <w:tcW w:w="3539" w:type="dxa"/>
            <w:shd w:val="clear" w:color="auto" w:fill="auto"/>
          </w:tcPr>
          <w:p w14:paraId="35C97014" w14:textId="4FC8C7A8" w:rsidR="003437D0" w:rsidRPr="0086186A" w:rsidRDefault="002174D7" w:rsidP="00D8786F">
            <w:pPr>
              <w:spacing w:after="0" w:line="240" w:lineRule="auto"/>
              <w:jc w:val="both"/>
              <w:rPr>
                <w:rFonts w:cs="Times New Roman"/>
                <w:b/>
                <w:noProof/>
                <w:sz w:val="20"/>
                <w:szCs w:val="20"/>
                <w:lang w:val="hr-HR"/>
              </w:rPr>
            </w:pPr>
            <w:r w:rsidRPr="0086186A">
              <w:rPr>
                <w:rFonts w:cs="Times New Roman"/>
                <w:b/>
                <w:noProof/>
                <w:sz w:val="20"/>
                <w:szCs w:val="20"/>
                <w:lang w:val="hr-HR"/>
              </w:rPr>
              <w:t>Prva godina</w:t>
            </w:r>
          </w:p>
        </w:tc>
        <w:tc>
          <w:tcPr>
            <w:tcW w:w="4879" w:type="dxa"/>
            <w:shd w:val="clear" w:color="auto" w:fill="auto"/>
          </w:tcPr>
          <w:p w14:paraId="0BDD7AB9" w14:textId="6A85D3F2" w:rsidR="003437D0" w:rsidRPr="0086186A" w:rsidRDefault="00EE1C70" w:rsidP="00D8786F">
            <w:pPr>
              <w:spacing w:after="0" w:line="240" w:lineRule="auto"/>
              <w:jc w:val="both"/>
              <w:rPr>
                <w:rFonts w:eastAsia="Times New Roman" w:cs="Times New Roman"/>
                <w:sz w:val="20"/>
                <w:szCs w:val="20"/>
                <w:lang w:val="hr-HR"/>
              </w:rPr>
            </w:pPr>
            <w:r w:rsidRPr="0086186A">
              <w:rPr>
                <w:rFonts w:eastAsia="Times New Roman" w:cs="Times New Roman"/>
                <w:sz w:val="20"/>
                <w:szCs w:val="20"/>
                <w:lang w:val="hr-HR"/>
              </w:rPr>
              <w:t>2021</w:t>
            </w:r>
            <w:r w:rsidR="002174D7" w:rsidRPr="0086186A">
              <w:rPr>
                <w:rFonts w:eastAsia="Times New Roman" w:cs="Times New Roman"/>
                <w:sz w:val="20"/>
                <w:szCs w:val="20"/>
                <w:lang w:val="hr-HR"/>
              </w:rPr>
              <w:t>.</w:t>
            </w:r>
          </w:p>
        </w:tc>
      </w:tr>
      <w:tr w:rsidR="003437D0" w:rsidRPr="0086186A" w14:paraId="329993E5" w14:textId="77777777" w:rsidTr="002174D7">
        <w:trPr>
          <w:jc w:val="center"/>
        </w:trPr>
        <w:tc>
          <w:tcPr>
            <w:tcW w:w="3539" w:type="dxa"/>
            <w:shd w:val="clear" w:color="auto" w:fill="auto"/>
          </w:tcPr>
          <w:p w14:paraId="5253B711" w14:textId="4ED5BE65" w:rsidR="003437D0" w:rsidRPr="0086186A" w:rsidRDefault="002174D7" w:rsidP="00D8786F">
            <w:pPr>
              <w:spacing w:after="0" w:line="240" w:lineRule="auto"/>
              <w:jc w:val="both"/>
              <w:rPr>
                <w:rFonts w:cs="Times New Roman"/>
                <w:b/>
                <w:noProof/>
                <w:sz w:val="20"/>
                <w:szCs w:val="20"/>
                <w:lang w:val="hr-HR"/>
              </w:rPr>
            </w:pPr>
            <w:r w:rsidRPr="0086186A">
              <w:rPr>
                <w:rFonts w:cs="Times New Roman"/>
                <w:b/>
                <w:noProof/>
                <w:sz w:val="20"/>
                <w:szCs w:val="20"/>
                <w:lang w:val="hr-HR"/>
              </w:rPr>
              <w:t>Posljednja godina</w:t>
            </w:r>
          </w:p>
        </w:tc>
        <w:tc>
          <w:tcPr>
            <w:tcW w:w="4879" w:type="dxa"/>
            <w:shd w:val="clear" w:color="auto" w:fill="auto"/>
          </w:tcPr>
          <w:p w14:paraId="70A2DA32" w14:textId="2B20C966" w:rsidR="003437D0" w:rsidRPr="0086186A" w:rsidRDefault="00EE1C70" w:rsidP="00D8786F">
            <w:pPr>
              <w:spacing w:after="0" w:line="240" w:lineRule="auto"/>
              <w:jc w:val="both"/>
              <w:rPr>
                <w:rFonts w:eastAsia="Times New Roman" w:cs="Times New Roman"/>
                <w:sz w:val="20"/>
                <w:szCs w:val="20"/>
                <w:lang w:val="hr-HR"/>
              </w:rPr>
            </w:pPr>
            <w:r w:rsidRPr="0086186A">
              <w:rPr>
                <w:rFonts w:eastAsia="Times New Roman" w:cs="Times New Roman"/>
                <w:sz w:val="20"/>
                <w:szCs w:val="20"/>
                <w:lang w:val="hr-HR"/>
              </w:rPr>
              <w:t>2027</w:t>
            </w:r>
            <w:r w:rsidR="002174D7" w:rsidRPr="0086186A">
              <w:rPr>
                <w:rFonts w:eastAsia="Times New Roman" w:cs="Times New Roman"/>
                <w:sz w:val="20"/>
                <w:szCs w:val="20"/>
                <w:lang w:val="hr-HR"/>
              </w:rPr>
              <w:t>.</w:t>
            </w:r>
          </w:p>
        </w:tc>
      </w:tr>
      <w:tr w:rsidR="003437D0" w:rsidRPr="0086186A" w14:paraId="33707A47" w14:textId="77777777" w:rsidTr="002174D7">
        <w:trPr>
          <w:jc w:val="center"/>
        </w:trPr>
        <w:tc>
          <w:tcPr>
            <w:tcW w:w="3539" w:type="dxa"/>
            <w:shd w:val="clear" w:color="auto" w:fill="auto"/>
          </w:tcPr>
          <w:p w14:paraId="48CB890A" w14:textId="529C649F" w:rsidR="003437D0" w:rsidRPr="0086186A" w:rsidRDefault="002174D7" w:rsidP="00D8786F">
            <w:pPr>
              <w:spacing w:after="0" w:line="240" w:lineRule="auto"/>
              <w:jc w:val="both"/>
              <w:rPr>
                <w:rFonts w:cs="Times New Roman"/>
                <w:b/>
                <w:noProof/>
                <w:sz w:val="20"/>
                <w:szCs w:val="20"/>
                <w:lang w:val="hr-HR"/>
              </w:rPr>
            </w:pPr>
            <w:r w:rsidRPr="0086186A">
              <w:rPr>
                <w:rFonts w:cs="Times New Roman"/>
                <w:b/>
                <w:noProof/>
                <w:sz w:val="20"/>
                <w:szCs w:val="20"/>
                <w:lang w:val="hr-HR"/>
              </w:rPr>
              <w:t>Prihvatljivo od</w:t>
            </w:r>
          </w:p>
        </w:tc>
        <w:tc>
          <w:tcPr>
            <w:tcW w:w="4879" w:type="dxa"/>
            <w:shd w:val="clear" w:color="auto" w:fill="auto"/>
          </w:tcPr>
          <w:p w14:paraId="43551E19" w14:textId="65C60C1D" w:rsidR="003437D0" w:rsidRPr="0086186A" w:rsidRDefault="002174D7" w:rsidP="00D8786F">
            <w:pPr>
              <w:spacing w:after="0" w:line="240" w:lineRule="auto"/>
              <w:jc w:val="both"/>
              <w:rPr>
                <w:rFonts w:eastAsia="Times New Roman" w:cs="Times New Roman"/>
                <w:sz w:val="20"/>
                <w:szCs w:val="20"/>
                <w:lang w:val="hr-HR"/>
              </w:rPr>
            </w:pPr>
            <w:r w:rsidRPr="0086186A">
              <w:rPr>
                <w:rFonts w:eastAsia="Times New Roman" w:cs="Times New Roman"/>
                <w:sz w:val="20"/>
                <w:szCs w:val="20"/>
                <w:lang w:val="hr-HR"/>
              </w:rPr>
              <w:t>1. siječnja 2021.</w:t>
            </w:r>
          </w:p>
        </w:tc>
      </w:tr>
      <w:tr w:rsidR="003437D0" w:rsidRPr="0086186A" w14:paraId="1A90A9B7" w14:textId="77777777" w:rsidTr="002174D7">
        <w:trPr>
          <w:jc w:val="center"/>
        </w:trPr>
        <w:tc>
          <w:tcPr>
            <w:tcW w:w="3539" w:type="dxa"/>
            <w:shd w:val="clear" w:color="auto" w:fill="auto"/>
          </w:tcPr>
          <w:p w14:paraId="7D0FBD6C" w14:textId="430EA0BD" w:rsidR="003437D0" w:rsidRPr="0086186A" w:rsidRDefault="002174D7" w:rsidP="00D8786F">
            <w:pPr>
              <w:spacing w:after="0" w:line="240" w:lineRule="auto"/>
              <w:jc w:val="both"/>
              <w:rPr>
                <w:rFonts w:cs="Times New Roman"/>
                <w:b/>
                <w:noProof/>
                <w:sz w:val="20"/>
                <w:szCs w:val="20"/>
                <w:lang w:val="hr-HR"/>
              </w:rPr>
            </w:pPr>
            <w:r w:rsidRPr="0086186A">
              <w:rPr>
                <w:rFonts w:cs="Times New Roman"/>
                <w:b/>
                <w:noProof/>
                <w:sz w:val="20"/>
                <w:szCs w:val="20"/>
                <w:lang w:val="hr-HR"/>
              </w:rPr>
              <w:t>Prihvatljivo do</w:t>
            </w:r>
          </w:p>
        </w:tc>
        <w:tc>
          <w:tcPr>
            <w:tcW w:w="4879" w:type="dxa"/>
            <w:shd w:val="clear" w:color="auto" w:fill="auto"/>
          </w:tcPr>
          <w:p w14:paraId="5FE2CAF3" w14:textId="70735297" w:rsidR="003437D0" w:rsidRPr="0086186A" w:rsidRDefault="002174D7" w:rsidP="00D8786F">
            <w:pPr>
              <w:spacing w:after="0" w:line="240" w:lineRule="auto"/>
              <w:jc w:val="both"/>
              <w:rPr>
                <w:rFonts w:eastAsia="Times New Roman" w:cs="Times New Roman"/>
                <w:sz w:val="20"/>
                <w:szCs w:val="20"/>
                <w:lang w:val="hr-HR"/>
              </w:rPr>
            </w:pPr>
            <w:r w:rsidRPr="0086186A">
              <w:rPr>
                <w:rFonts w:eastAsia="Times New Roman" w:cs="Times New Roman"/>
                <w:sz w:val="20"/>
                <w:szCs w:val="20"/>
                <w:lang w:val="hr-HR"/>
              </w:rPr>
              <w:t>31. prosinca 2029.</w:t>
            </w:r>
          </w:p>
        </w:tc>
      </w:tr>
      <w:tr w:rsidR="003437D0" w:rsidRPr="0086186A" w14:paraId="4DD0F3EB" w14:textId="77777777" w:rsidTr="002174D7">
        <w:trPr>
          <w:jc w:val="center"/>
        </w:trPr>
        <w:tc>
          <w:tcPr>
            <w:tcW w:w="3539" w:type="dxa"/>
            <w:shd w:val="clear" w:color="auto" w:fill="auto"/>
          </w:tcPr>
          <w:p w14:paraId="3ACB985D" w14:textId="17F9AFA4" w:rsidR="003437D0" w:rsidRPr="0086186A" w:rsidRDefault="002174D7" w:rsidP="00D8786F">
            <w:pPr>
              <w:spacing w:after="0" w:line="240" w:lineRule="auto"/>
              <w:jc w:val="both"/>
              <w:rPr>
                <w:rFonts w:cs="Times New Roman"/>
                <w:b/>
                <w:noProof/>
                <w:sz w:val="20"/>
                <w:szCs w:val="20"/>
                <w:lang w:val="hr-HR"/>
              </w:rPr>
            </w:pPr>
            <w:r w:rsidRPr="0086186A">
              <w:rPr>
                <w:rFonts w:cs="Times New Roman"/>
                <w:b/>
                <w:noProof/>
                <w:sz w:val="20"/>
                <w:szCs w:val="20"/>
                <w:lang w:val="hr-HR"/>
              </w:rPr>
              <w:t>Broj odluke Komisije</w:t>
            </w:r>
          </w:p>
        </w:tc>
        <w:tc>
          <w:tcPr>
            <w:tcW w:w="4879" w:type="dxa"/>
            <w:shd w:val="clear" w:color="auto" w:fill="auto"/>
          </w:tcPr>
          <w:p w14:paraId="2FA0FB2F" w14:textId="77777777" w:rsidR="003437D0" w:rsidRPr="0086186A" w:rsidRDefault="003437D0" w:rsidP="00D8786F">
            <w:pPr>
              <w:spacing w:after="0" w:line="240" w:lineRule="auto"/>
              <w:jc w:val="both"/>
              <w:rPr>
                <w:rFonts w:cs="Times New Roman"/>
                <w:i/>
                <w:noProof/>
                <w:color w:val="8DB3E2"/>
                <w:sz w:val="20"/>
                <w:szCs w:val="20"/>
                <w:lang w:val="hr-HR"/>
              </w:rPr>
            </w:pPr>
          </w:p>
        </w:tc>
      </w:tr>
      <w:tr w:rsidR="003437D0" w:rsidRPr="0086186A" w14:paraId="1465A898" w14:textId="77777777" w:rsidTr="002174D7">
        <w:trPr>
          <w:jc w:val="center"/>
        </w:trPr>
        <w:tc>
          <w:tcPr>
            <w:tcW w:w="3539" w:type="dxa"/>
            <w:shd w:val="clear" w:color="auto" w:fill="auto"/>
          </w:tcPr>
          <w:p w14:paraId="642A60E6" w14:textId="65EADA27" w:rsidR="003437D0" w:rsidRPr="0086186A" w:rsidRDefault="002174D7" w:rsidP="00D8786F">
            <w:pPr>
              <w:spacing w:after="0" w:line="240" w:lineRule="auto"/>
              <w:jc w:val="both"/>
              <w:rPr>
                <w:rFonts w:cs="Times New Roman"/>
                <w:b/>
                <w:noProof/>
                <w:sz w:val="20"/>
                <w:szCs w:val="20"/>
                <w:lang w:val="hr-HR"/>
              </w:rPr>
            </w:pPr>
            <w:r w:rsidRPr="0086186A">
              <w:rPr>
                <w:rFonts w:cs="Times New Roman"/>
                <w:b/>
                <w:noProof/>
                <w:sz w:val="20"/>
                <w:szCs w:val="20"/>
                <w:lang w:val="hr-HR"/>
              </w:rPr>
              <w:t>Datum odluke Komisije</w:t>
            </w:r>
          </w:p>
        </w:tc>
        <w:tc>
          <w:tcPr>
            <w:tcW w:w="4879" w:type="dxa"/>
            <w:shd w:val="clear" w:color="auto" w:fill="auto"/>
          </w:tcPr>
          <w:p w14:paraId="48D45249" w14:textId="77777777" w:rsidR="003437D0" w:rsidRPr="0086186A" w:rsidRDefault="003437D0" w:rsidP="00D8786F">
            <w:pPr>
              <w:spacing w:after="0" w:line="240" w:lineRule="auto"/>
              <w:jc w:val="both"/>
              <w:rPr>
                <w:rFonts w:cs="Times New Roman"/>
                <w:i/>
                <w:noProof/>
                <w:color w:val="8DB3E2"/>
                <w:sz w:val="20"/>
                <w:szCs w:val="20"/>
                <w:lang w:val="hr-HR"/>
              </w:rPr>
            </w:pPr>
          </w:p>
        </w:tc>
      </w:tr>
      <w:tr w:rsidR="003437D0" w:rsidRPr="0086186A" w14:paraId="2A619825" w14:textId="77777777" w:rsidTr="002174D7">
        <w:trPr>
          <w:jc w:val="center"/>
        </w:trPr>
        <w:tc>
          <w:tcPr>
            <w:tcW w:w="3539" w:type="dxa"/>
            <w:shd w:val="clear" w:color="auto" w:fill="auto"/>
          </w:tcPr>
          <w:p w14:paraId="1B017C2E" w14:textId="478AA738" w:rsidR="003437D0" w:rsidRPr="0086186A" w:rsidRDefault="002174D7" w:rsidP="00D8786F">
            <w:pPr>
              <w:spacing w:after="0" w:line="240" w:lineRule="auto"/>
              <w:jc w:val="both"/>
              <w:rPr>
                <w:rFonts w:cs="Times New Roman"/>
                <w:b/>
                <w:noProof/>
                <w:sz w:val="20"/>
                <w:szCs w:val="20"/>
                <w:lang w:val="hr-HR"/>
              </w:rPr>
            </w:pPr>
            <w:r w:rsidRPr="0086186A">
              <w:rPr>
                <w:rFonts w:cs="Times New Roman"/>
                <w:b/>
                <w:noProof/>
                <w:sz w:val="20"/>
                <w:szCs w:val="20"/>
                <w:lang w:val="hr-HR"/>
              </w:rPr>
              <w:t>Broj odluke o izmjeni programa</w:t>
            </w:r>
          </w:p>
        </w:tc>
        <w:tc>
          <w:tcPr>
            <w:tcW w:w="4879" w:type="dxa"/>
            <w:shd w:val="clear" w:color="auto" w:fill="auto"/>
          </w:tcPr>
          <w:p w14:paraId="2305A397" w14:textId="51FF5AFD" w:rsidR="003437D0" w:rsidRPr="0086186A" w:rsidRDefault="005B45F5" w:rsidP="00D8786F">
            <w:pPr>
              <w:spacing w:after="0" w:line="240" w:lineRule="auto"/>
              <w:jc w:val="both"/>
              <w:rPr>
                <w:rFonts w:cs="Times New Roman"/>
                <w:i/>
                <w:noProof/>
                <w:color w:val="8DB3E2"/>
                <w:sz w:val="20"/>
                <w:szCs w:val="20"/>
                <w:lang w:val="hr-HR"/>
              </w:rPr>
            </w:pPr>
            <w:r w:rsidRPr="0086186A">
              <w:rPr>
                <w:rFonts w:cs="Times New Roman"/>
                <w:noProof/>
                <w:sz w:val="20"/>
                <w:szCs w:val="20"/>
                <w:lang w:val="hr-HR"/>
              </w:rPr>
              <w:t>[20]</w:t>
            </w:r>
            <w:r w:rsidR="005752EF" w:rsidRPr="0086186A">
              <w:rPr>
                <w:rFonts w:cs="Times New Roman"/>
                <w:noProof/>
                <w:sz w:val="20"/>
                <w:szCs w:val="20"/>
                <w:lang w:val="hr-HR"/>
              </w:rPr>
              <w:t xml:space="preserve"> </w:t>
            </w:r>
          </w:p>
        </w:tc>
      </w:tr>
      <w:tr w:rsidR="003437D0" w:rsidRPr="0086186A" w14:paraId="65F7EEEE" w14:textId="77777777" w:rsidTr="002174D7">
        <w:trPr>
          <w:jc w:val="center"/>
        </w:trPr>
        <w:tc>
          <w:tcPr>
            <w:tcW w:w="3539" w:type="dxa"/>
            <w:shd w:val="clear" w:color="auto" w:fill="auto"/>
          </w:tcPr>
          <w:p w14:paraId="7D16976F" w14:textId="4C679D5D" w:rsidR="003437D0" w:rsidRPr="0086186A" w:rsidRDefault="002174D7" w:rsidP="00D8786F">
            <w:pPr>
              <w:spacing w:after="0" w:line="240" w:lineRule="auto"/>
              <w:jc w:val="both"/>
              <w:rPr>
                <w:rFonts w:cs="Times New Roman"/>
                <w:b/>
                <w:noProof/>
                <w:sz w:val="20"/>
                <w:szCs w:val="20"/>
                <w:lang w:val="hr-HR"/>
              </w:rPr>
            </w:pPr>
            <w:r w:rsidRPr="0086186A">
              <w:rPr>
                <w:rFonts w:cs="Times New Roman"/>
                <w:b/>
                <w:noProof/>
                <w:sz w:val="20"/>
                <w:szCs w:val="20"/>
                <w:lang w:val="hr-HR"/>
              </w:rPr>
              <w:t>Dan stupanja na snagu odluke o izmjeni programa</w:t>
            </w:r>
          </w:p>
        </w:tc>
        <w:tc>
          <w:tcPr>
            <w:tcW w:w="4879" w:type="dxa"/>
            <w:shd w:val="clear" w:color="auto" w:fill="auto"/>
          </w:tcPr>
          <w:p w14:paraId="66BC6EEA" w14:textId="77777777" w:rsidR="003437D0" w:rsidRPr="0086186A" w:rsidRDefault="003437D0" w:rsidP="00D8786F">
            <w:pPr>
              <w:spacing w:after="0" w:line="240" w:lineRule="auto"/>
              <w:jc w:val="both"/>
              <w:rPr>
                <w:rFonts w:cs="Times New Roman"/>
                <w:noProof/>
                <w:sz w:val="20"/>
                <w:szCs w:val="20"/>
                <w:lang w:val="hr-HR"/>
              </w:rPr>
            </w:pPr>
          </w:p>
        </w:tc>
      </w:tr>
      <w:tr w:rsidR="003437D0" w:rsidRPr="0086186A" w14:paraId="140F9AEE" w14:textId="77777777" w:rsidTr="002174D7">
        <w:trPr>
          <w:jc w:val="center"/>
        </w:trPr>
        <w:tc>
          <w:tcPr>
            <w:tcW w:w="3539" w:type="dxa"/>
            <w:shd w:val="clear" w:color="auto" w:fill="auto"/>
          </w:tcPr>
          <w:p w14:paraId="73961E30" w14:textId="172E823B" w:rsidR="003437D0" w:rsidRPr="0086186A" w:rsidRDefault="002174D7" w:rsidP="00D8786F">
            <w:pPr>
              <w:spacing w:after="0" w:line="240" w:lineRule="auto"/>
              <w:jc w:val="both"/>
              <w:rPr>
                <w:rFonts w:cs="Times New Roman"/>
                <w:b/>
                <w:noProof/>
                <w:sz w:val="20"/>
                <w:szCs w:val="20"/>
                <w:lang w:val="hr-HR"/>
              </w:rPr>
            </w:pPr>
            <w:r w:rsidRPr="0086186A">
              <w:rPr>
                <w:rFonts w:cs="Times New Roman"/>
                <w:b/>
                <w:noProof/>
                <w:sz w:val="20"/>
                <w:szCs w:val="20"/>
                <w:lang w:val="hr-HR"/>
              </w:rPr>
              <w:t>Regija NUTS obuhvaćena programom</w:t>
            </w:r>
          </w:p>
        </w:tc>
        <w:tc>
          <w:tcPr>
            <w:tcW w:w="4879" w:type="dxa"/>
            <w:shd w:val="clear" w:color="auto" w:fill="auto"/>
          </w:tcPr>
          <w:p w14:paraId="698B9F7E" w14:textId="77777777" w:rsidR="00AF2D8C" w:rsidRPr="0086186A" w:rsidRDefault="00AF2D8C" w:rsidP="00D8786F">
            <w:pPr>
              <w:pStyle w:val="TableParagraph"/>
              <w:ind w:left="110"/>
              <w:rPr>
                <w:rFonts w:ascii="Times New Roman" w:hAnsi="Times New Roman" w:cs="Times New Roman"/>
                <w:sz w:val="20"/>
                <w:szCs w:val="20"/>
                <w:lang w:val="hr-HR"/>
              </w:rPr>
            </w:pPr>
            <w:r w:rsidRPr="0086186A">
              <w:rPr>
                <w:rFonts w:ascii="Times New Roman" w:hAnsi="Times New Roman" w:cs="Times New Roman"/>
                <w:sz w:val="20"/>
                <w:szCs w:val="20"/>
                <w:lang w:val="hr-HR"/>
              </w:rPr>
              <w:t>HR021 - Bjelovarsko-bilogorska županija</w:t>
            </w:r>
          </w:p>
          <w:p w14:paraId="2C728223" w14:textId="77777777" w:rsidR="00AF2D8C" w:rsidRPr="0086186A" w:rsidRDefault="00AF2D8C" w:rsidP="00D8786F">
            <w:pPr>
              <w:pStyle w:val="TableParagraph"/>
              <w:ind w:left="110"/>
              <w:rPr>
                <w:rFonts w:ascii="Times New Roman" w:hAnsi="Times New Roman" w:cs="Times New Roman"/>
                <w:sz w:val="20"/>
                <w:szCs w:val="20"/>
                <w:lang w:val="hr-HR"/>
              </w:rPr>
            </w:pPr>
            <w:r w:rsidRPr="0086186A">
              <w:rPr>
                <w:rFonts w:ascii="Times New Roman" w:hAnsi="Times New Roman" w:cs="Times New Roman"/>
                <w:sz w:val="20"/>
                <w:szCs w:val="20"/>
                <w:lang w:val="hr-HR"/>
              </w:rPr>
              <w:t>HR022 - Virovitičko-podravska županija</w:t>
            </w:r>
          </w:p>
          <w:p w14:paraId="3FF738A1" w14:textId="77777777" w:rsidR="00AF2D8C" w:rsidRPr="0086186A" w:rsidRDefault="00AF2D8C" w:rsidP="00D8786F">
            <w:pPr>
              <w:pStyle w:val="TableParagraph"/>
              <w:ind w:left="110"/>
              <w:rPr>
                <w:rFonts w:ascii="Times New Roman" w:hAnsi="Times New Roman" w:cs="Times New Roman"/>
                <w:sz w:val="20"/>
                <w:szCs w:val="20"/>
                <w:lang w:val="hr-HR"/>
              </w:rPr>
            </w:pPr>
            <w:r w:rsidRPr="0086186A">
              <w:rPr>
                <w:rFonts w:ascii="Times New Roman" w:hAnsi="Times New Roman" w:cs="Times New Roman"/>
                <w:sz w:val="20"/>
                <w:szCs w:val="20"/>
                <w:lang w:val="hr-HR"/>
              </w:rPr>
              <w:t>HR023 - Požeško-slavonska županija</w:t>
            </w:r>
          </w:p>
          <w:p w14:paraId="0A445002" w14:textId="77777777" w:rsidR="00AF2D8C" w:rsidRPr="0086186A" w:rsidRDefault="00AF2D8C" w:rsidP="00D8786F">
            <w:pPr>
              <w:pStyle w:val="TableParagraph"/>
              <w:ind w:left="110"/>
              <w:rPr>
                <w:rFonts w:ascii="Times New Roman" w:hAnsi="Times New Roman" w:cs="Times New Roman"/>
                <w:sz w:val="20"/>
                <w:szCs w:val="20"/>
                <w:lang w:val="hr-HR"/>
              </w:rPr>
            </w:pPr>
            <w:r w:rsidRPr="0086186A">
              <w:rPr>
                <w:rFonts w:ascii="Times New Roman" w:hAnsi="Times New Roman" w:cs="Times New Roman"/>
                <w:sz w:val="20"/>
                <w:szCs w:val="20"/>
                <w:lang w:val="hr-HR"/>
              </w:rPr>
              <w:t>HR025 - Osječko-baranjska županija</w:t>
            </w:r>
          </w:p>
          <w:p w14:paraId="79BE1632" w14:textId="77777777" w:rsidR="00AF2D8C" w:rsidRPr="0086186A" w:rsidRDefault="00AF2D8C" w:rsidP="00D8786F">
            <w:pPr>
              <w:pStyle w:val="TableParagraph"/>
              <w:ind w:left="110"/>
              <w:rPr>
                <w:rFonts w:ascii="Times New Roman" w:hAnsi="Times New Roman" w:cs="Times New Roman"/>
                <w:sz w:val="20"/>
                <w:szCs w:val="20"/>
                <w:lang w:val="hr-HR"/>
              </w:rPr>
            </w:pPr>
            <w:r w:rsidRPr="0086186A">
              <w:rPr>
                <w:rFonts w:ascii="Times New Roman" w:hAnsi="Times New Roman" w:cs="Times New Roman"/>
                <w:sz w:val="20"/>
                <w:szCs w:val="20"/>
                <w:lang w:val="hr-HR"/>
              </w:rPr>
              <w:t>HR026 - Vukovarsko-srijemska županija</w:t>
            </w:r>
          </w:p>
          <w:p w14:paraId="0C666238" w14:textId="77777777" w:rsidR="00AF2D8C" w:rsidRPr="0086186A" w:rsidRDefault="00AF2D8C" w:rsidP="00D8786F">
            <w:pPr>
              <w:pStyle w:val="TableParagraph"/>
              <w:ind w:left="110"/>
              <w:rPr>
                <w:rFonts w:ascii="Times New Roman" w:hAnsi="Times New Roman" w:cs="Times New Roman"/>
                <w:sz w:val="20"/>
                <w:szCs w:val="20"/>
                <w:lang w:val="hr-HR"/>
              </w:rPr>
            </w:pPr>
            <w:r w:rsidRPr="0086186A">
              <w:rPr>
                <w:rFonts w:ascii="Times New Roman" w:hAnsi="Times New Roman" w:cs="Times New Roman"/>
                <w:sz w:val="20"/>
                <w:szCs w:val="20"/>
                <w:lang w:val="hr-HR"/>
              </w:rPr>
              <w:t>HR061 - Međimurska županija</w:t>
            </w:r>
          </w:p>
          <w:p w14:paraId="4ED2C11B" w14:textId="77777777" w:rsidR="00AF2D8C" w:rsidRPr="0086186A" w:rsidRDefault="00AF2D8C" w:rsidP="00D8786F">
            <w:pPr>
              <w:pStyle w:val="TableParagraph"/>
              <w:ind w:left="110"/>
              <w:rPr>
                <w:rFonts w:ascii="Times New Roman" w:hAnsi="Times New Roman" w:cs="Times New Roman"/>
                <w:sz w:val="20"/>
                <w:szCs w:val="20"/>
                <w:lang w:val="hr-HR"/>
              </w:rPr>
            </w:pPr>
            <w:r w:rsidRPr="0086186A">
              <w:rPr>
                <w:rFonts w:ascii="Times New Roman" w:hAnsi="Times New Roman" w:cs="Times New Roman"/>
                <w:sz w:val="20"/>
                <w:szCs w:val="20"/>
                <w:lang w:val="hr-HR"/>
              </w:rPr>
              <w:t>HR062 - Varaždinska županija</w:t>
            </w:r>
          </w:p>
          <w:p w14:paraId="0646FC95" w14:textId="77777777" w:rsidR="00AF2D8C" w:rsidRPr="0086186A" w:rsidRDefault="00AF2D8C" w:rsidP="00D8786F">
            <w:pPr>
              <w:pStyle w:val="TableParagraph"/>
              <w:ind w:left="110"/>
              <w:rPr>
                <w:rFonts w:ascii="Times New Roman" w:hAnsi="Times New Roman" w:cs="Times New Roman"/>
                <w:sz w:val="20"/>
                <w:szCs w:val="20"/>
                <w:lang w:val="hr-HR"/>
              </w:rPr>
            </w:pPr>
            <w:r w:rsidRPr="0086186A">
              <w:rPr>
                <w:rFonts w:ascii="Times New Roman" w:hAnsi="Times New Roman" w:cs="Times New Roman"/>
                <w:sz w:val="20"/>
                <w:szCs w:val="20"/>
                <w:lang w:val="hr-HR"/>
              </w:rPr>
              <w:t>HR063 - Koprivničko-križevačka županija</w:t>
            </w:r>
          </w:p>
          <w:p w14:paraId="6C549673" w14:textId="77777777" w:rsidR="00AF2D8C" w:rsidRPr="0086186A" w:rsidRDefault="00AF2D8C" w:rsidP="00D8786F">
            <w:pPr>
              <w:pStyle w:val="TableParagraph"/>
              <w:ind w:left="110"/>
              <w:rPr>
                <w:rFonts w:ascii="Times New Roman" w:hAnsi="Times New Roman" w:cs="Times New Roman"/>
                <w:sz w:val="20"/>
                <w:szCs w:val="20"/>
                <w:lang w:val="hr-HR"/>
              </w:rPr>
            </w:pPr>
            <w:r w:rsidRPr="0086186A">
              <w:rPr>
                <w:rFonts w:ascii="Times New Roman" w:hAnsi="Times New Roman" w:cs="Times New Roman"/>
                <w:sz w:val="20"/>
                <w:szCs w:val="20"/>
                <w:lang w:val="hr-HR"/>
              </w:rPr>
              <w:t>HU223 - Zala</w:t>
            </w:r>
          </w:p>
          <w:p w14:paraId="041CAE12" w14:textId="77777777" w:rsidR="00AF2D8C" w:rsidRPr="0086186A" w:rsidRDefault="00AF2D8C" w:rsidP="00D8786F">
            <w:pPr>
              <w:pStyle w:val="TableParagraph"/>
              <w:ind w:left="110"/>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HU231 - </w:t>
            </w:r>
            <w:proofErr w:type="spellStart"/>
            <w:r w:rsidRPr="0086186A">
              <w:rPr>
                <w:rFonts w:ascii="Times New Roman" w:hAnsi="Times New Roman" w:cs="Times New Roman"/>
                <w:sz w:val="20"/>
                <w:szCs w:val="20"/>
                <w:lang w:val="hr-HR"/>
              </w:rPr>
              <w:t>Baranya</w:t>
            </w:r>
            <w:proofErr w:type="spellEnd"/>
          </w:p>
          <w:p w14:paraId="3BE67B29" w14:textId="114C5BF1" w:rsidR="002B4863" w:rsidRPr="0086186A" w:rsidRDefault="00AF2D8C" w:rsidP="00D8786F">
            <w:pPr>
              <w:spacing w:after="0" w:line="240" w:lineRule="auto"/>
              <w:jc w:val="both"/>
              <w:rPr>
                <w:rFonts w:cs="Times New Roman"/>
                <w:sz w:val="20"/>
                <w:szCs w:val="20"/>
                <w:lang w:val="hr-HR"/>
              </w:rPr>
            </w:pPr>
            <w:r w:rsidRPr="0086186A">
              <w:rPr>
                <w:rFonts w:cs="Times New Roman"/>
                <w:sz w:val="20"/>
                <w:szCs w:val="20"/>
                <w:lang w:val="hr-HR"/>
              </w:rPr>
              <w:t xml:space="preserve">HU232 - </w:t>
            </w:r>
            <w:proofErr w:type="spellStart"/>
            <w:r w:rsidRPr="0086186A">
              <w:rPr>
                <w:rFonts w:cs="Times New Roman"/>
                <w:sz w:val="20"/>
                <w:szCs w:val="20"/>
                <w:lang w:val="hr-HR"/>
              </w:rPr>
              <w:t>Somogy</w:t>
            </w:r>
            <w:proofErr w:type="spellEnd"/>
          </w:p>
        </w:tc>
      </w:tr>
      <w:tr w:rsidR="003437D0" w:rsidRPr="0086186A" w14:paraId="4057DD61" w14:textId="77777777" w:rsidTr="002174D7">
        <w:trPr>
          <w:jc w:val="center"/>
        </w:trPr>
        <w:tc>
          <w:tcPr>
            <w:tcW w:w="3539" w:type="dxa"/>
            <w:shd w:val="clear" w:color="auto" w:fill="auto"/>
          </w:tcPr>
          <w:p w14:paraId="35B7576E" w14:textId="6B903F19" w:rsidR="003437D0" w:rsidRPr="0086186A" w:rsidRDefault="002174D7" w:rsidP="00D8786F">
            <w:pPr>
              <w:spacing w:after="0" w:line="240" w:lineRule="auto"/>
              <w:jc w:val="both"/>
              <w:rPr>
                <w:rFonts w:cs="Times New Roman"/>
                <w:b/>
                <w:noProof/>
                <w:sz w:val="20"/>
                <w:szCs w:val="20"/>
                <w:lang w:val="hr-HR"/>
              </w:rPr>
            </w:pPr>
            <w:r w:rsidRPr="0086186A">
              <w:rPr>
                <w:rFonts w:cs="Times New Roman"/>
                <w:b/>
                <w:i/>
                <w:iCs/>
                <w:noProof/>
                <w:sz w:val="20"/>
                <w:szCs w:val="20"/>
                <w:lang w:val="hr-HR"/>
              </w:rPr>
              <w:t>nit</w:t>
            </w:r>
          </w:p>
        </w:tc>
        <w:tc>
          <w:tcPr>
            <w:tcW w:w="4879" w:type="dxa"/>
            <w:shd w:val="clear" w:color="auto" w:fill="auto"/>
          </w:tcPr>
          <w:p w14:paraId="55A1EEED" w14:textId="77777777" w:rsidR="003437D0" w:rsidRPr="0086186A" w:rsidRDefault="00231937" w:rsidP="00D8786F">
            <w:pPr>
              <w:spacing w:after="0" w:line="240" w:lineRule="auto"/>
              <w:jc w:val="both"/>
              <w:rPr>
                <w:rFonts w:cs="Times New Roman"/>
                <w:noProof/>
                <w:sz w:val="20"/>
                <w:szCs w:val="20"/>
                <w:lang w:val="hr-HR"/>
              </w:rPr>
            </w:pPr>
            <w:r w:rsidRPr="0086186A">
              <w:rPr>
                <w:rFonts w:cs="Times New Roman"/>
                <w:noProof/>
                <w:sz w:val="20"/>
                <w:szCs w:val="20"/>
                <w:lang w:val="hr-HR"/>
              </w:rPr>
              <w:t>A</w:t>
            </w:r>
          </w:p>
        </w:tc>
      </w:tr>
    </w:tbl>
    <w:p w14:paraId="6CA4A244" w14:textId="77777777" w:rsidR="005B5426" w:rsidRPr="0086186A" w:rsidRDefault="005B5426" w:rsidP="00D8786F">
      <w:pPr>
        <w:spacing w:after="0" w:line="240" w:lineRule="auto"/>
        <w:jc w:val="both"/>
        <w:rPr>
          <w:rFonts w:eastAsia="Times New Roman" w:cs="Times New Roman"/>
          <w:b/>
          <w:iCs/>
          <w:noProof/>
          <w:sz w:val="20"/>
          <w:szCs w:val="20"/>
          <w:lang w:val="hr-HR" w:eastAsia="en-GB"/>
        </w:rPr>
      </w:pPr>
    </w:p>
    <w:p w14:paraId="05D49F91" w14:textId="22945009" w:rsidR="003437D0" w:rsidRPr="0086186A" w:rsidRDefault="002174D7" w:rsidP="00D8786F">
      <w:pPr>
        <w:pStyle w:val="ListParagraph"/>
        <w:numPr>
          <w:ilvl w:val="0"/>
          <w:numId w:val="2"/>
        </w:numPr>
        <w:spacing w:after="0" w:line="240" w:lineRule="auto"/>
        <w:jc w:val="both"/>
        <w:rPr>
          <w:rFonts w:eastAsia="Times New Roman" w:cs="Times New Roman"/>
          <w:b/>
          <w:iCs/>
          <w:noProof/>
          <w:sz w:val="20"/>
          <w:szCs w:val="20"/>
          <w:lang w:val="hr-HR" w:eastAsia="en-GB"/>
        </w:rPr>
      </w:pPr>
      <w:r w:rsidRPr="0086186A">
        <w:rPr>
          <w:rFonts w:eastAsia="Times New Roman" w:cs="Times New Roman"/>
          <w:b/>
          <w:iCs/>
          <w:noProof/>
          <w:sz w:val="20"/>
          <w:szCs w:val="20"/>
          <w:lang w:val="hr-HR" w:eastAsia="en-GB"/>
        </w:rPr>
        <w:t>Zajednička programska strategija</w:t>
      </w:r>
      <w:r w:rsidR="005B45F5" w:rsidRPr="0086186A">
        <w:rPr>
          <w:rFonts w:eastAsia="Times New Roman" w:cs="Times New Roman"/>
          <w:b/>
          <w:iCs/>
          <w:noProof/>
          <w:sz w:val="20"/>
          <w:szCs w:val="20"/>
          <w:lang w:val="hr-HR" w:eastAsia="en-GB"/>
        </w:rPr>
        <w:t xml:space="preserve">: </w:t>
      </w:r>
      <w:r w:rsidRPr="0086186A">
        <w:rPr>
          <w:rFonts w:eastAsia="Times New Roman" w:cs="Times New Roman"/>
          <w:b/>
          <w:iCs/>
          <w:noProof/>
          <w:sz w:val="20"/>
          <w:szCs w:val="20"/>
          <w:lang w:val="hr-HR" w:eastAsia="en-GB"/>
        </w:rPr>
        <w:t>glavni razvojni izazovi i politički odgovori</w:t>
      </w:r>
    </w:p>
    <w:p w14:paraId="21CB9F43" w14:textId="77777777" w:rsidR="005B5426" w:rsidRPr="0086186A" w:rsidRDefault="005B5426" w:rsidP="00D8786F">
      <w:pPr>
        <w:pStyle w:val="ListParagraph"/>
        <w:spacing w:after="0" w:line="240" w:lineRule="auto"/>
        <w:ind w:left="360"/>
        <w:jc w:val="both"/>
        <w:rPr>
          <w:rFonts w:eastAsia="Times New Roman" w:cs="Times New Roman"/>
          <w:b/>
          <w:iCs/>
          <w:noProof/>
          <w:sz w:val="20"/>
          <w:szCs w:val="20"/>
          <w:lang w:val="hr-HR" w:eastAsia="en-GB"/>
        </w:rPr>
      </w:pPr>
    </w:p>
    <w:p w14:paraId="48FA4289" w14:textId="419029F5" w:rsidR="003437D0" w:rsidRPr="0086186A" w:rsidRDefault="00916E97" w:rsidP="00D8786F">
      <w:pPr>
        <w:pStyle w:val="ListParagraph"/>
        <w:numPr>
          <w:ilvl w:val="1"/>
          <w:numId w:val="2"/>
        </w:numPr>
        <w:spacing w:after="0"/>
        <w:ind w:left="788" w:hanging="431"/>
        <w:jc w:val="both"/>
        <w:rPr>
          <w:rFonts w:eastAsia="Times New Roman" w:cs="Times New Roman"/>
          <w:b/>
          <w:noProof/>
          <w:color w:val="000000"/>
          <w:sz w:val="20"/>
          <w:szCs w:val="20"/>
          <w:lang w:val="hr-HR" w:eastAsia="en-GB"/>
        </w:rPr>
      </w:pPr>
      <w:r w:rsidRPr="0086186A">
        <w:rPr>
          <w:rFonts w:eastAsia="Times New Roman" w:cs="Times New Roman"/>
          <w:b/>
          <w:noProof/>
          <w:color w:val="000000"/>
          <w:sz w:val="20"/>
          <w:szCs w:val="20"/>
          <w:lang w:val="hr-HR" w:eastAsia="en-GB"/>
        </w:rPr>
        <w:t>Programsko područje</w:t>
      </w:r>
    </w:p>
    <w:p w14:paraId="43D758D6" w14:textId="26EC4EB9" w:rsidR="003437D0" w:rsidRPr="0086186A" w:rsidRDefault="00916E97" w:rsidP="00D8786F">
      <w:pPr>
        <w:spacing w:after="0" w:line="240" w:lineRule="auto"/>
        <w:jc w:val="both"/>
        <w:rPr>
          <w:rFonts w:eastAsia="Times New Roman" w:cs="Times New Roman"/>
          <w:i/>
          <w:noProof/>
          <w:color w:val="000000"/>
          <w:sz w:val="20"/>
          <w:szCs w:val="20"/>
          <w:lang w:val="hr-HR" w:eastAsia="en-GB"/>
        </w:rPr>
      </w:pPr>
      <w:r w:rsidRPr="0086186A">
        <w:rPr>
          <w:rFonts w:eastAsia="Times New Roman" w:cs="Times New Roman"/>
          <w:i/>
          <w:noProof/>
          <w:color w:val="000000"/>
          <w:sz w:val="20"/>
          <w:szCs w:val="20"/>
          <w:lang w:val="hr-HR" w:eastAsia="en-GB"/>
        </w:rPr>
        <w:t>Up</w:t>
      </w:r>
      <w:r w:rsidR="005A0148" w:rsidRPr="0086186A">
        <w:rPr>
          <w:rFonts w:eastAsia="Times New Roman" w:cs="Times New Roman"/>
          <w:i/>
          <w:noProof/>
          <w:color w:val="000000"/>
          <w:sz w:val="20"/>
          <w:szCs w:val="20"/>
          <w:lang w:val="hr-HR" w:eastAsia="en-GB"/>
        </w:rPr>
        <w:t>ućivanje</w:t>
      </w:r>
      <w:r w:rsidR="005B45F5" w:rsidRPr="0086186A">
        <w:rPr>
          <w:rFonts w:eastAsia="Times New Roman" w:cs="Times New Roman"/>
          <w:i/>
          <w:noProof/>
          <w:color w:val="000000"/>
          <w:sz w:val="20"/>
          <w:szCs w:val="20"/>
          <w:lang w:val="hr-HR" w:eastAsia="en-GB"/>
        </w:rPr>
        <w:t xml:space="preserve">: </w:t>
      </w:r>
      <w:r w:rsidRPr="0086186A">
        <w:rPr>
          <w:rFonts w:eastAsia="Times New Roman" w:cs="Times New Roman"/>
          <w:i/>
          <w:noProof/>
          <w:color w:val="000000"/>
          <w:sz w:val="20"/>
          <w:szCs w:val="20"/>
          <w:lang w:val="hr-HR" w:eastAsia="en-GB"/>
        </w:rPr>
        <w:t>članak 17. stavak 3. točka (a), članak 17. stavak 9. točka (a)</w:t>
      </w:r>
    </w:p>
    <w:p w14:paraId="35B2865C" w14:textId="77777777" w:rsidR="00916E97" w:rsidRPr="0086186A" w:rsidRDefault="00916E97" w:rsidP="00D8786F">
      <w:pPr>
        <w:pStyle w:val="BodyText"/>
        <w:ind w:left="170" w:right="135"/>
        <w:jc w:val="both"/>
        <w:rPr>
          <w:rFonts w:ascii="Times New Roman" w:hAnsi="Times New Roman" w:cs="Times New Roman"/>
          <w:sz w:val="20"/>
          <w:szCs w:val="20"/>
          <w:lang w:val="hr-HR"/>
        </w:rPr>
      </w:pPr>
    </w:p>
    <w:p w14:paraId="74E334C0" w14:textId="3B6CAD9C" w:rsidR="00E3522A" w:rsidRPr="0086186A" w:rsidRDefault="00916E97"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Granica između Mađarske i Hrvatske obuhvaća 31.085 km</w:t>
      </w:r>
      <w:r w:rsidRPr="0086186A">
        <w:rPr>
          <w:rFonts w:ascii="Times New Roman" w:hAnsi="Times New Roman" w:cs="Times New Roman"/>
          <w:sz w:val="20"/>
          <w:szCs w:val="20"/>
          <w:vertAlign w:val="superscript"/>
          <w:lang w:val="hr-HR"/>
        </w:rPr>
        <w:t>2</w:t>
      </w:r>
      <w:r w:rsidRPr="0086186A">
        <w:rPr>
          <w:rFonts w:ascii="Times New Roman" w:hAnsi="Times New Roman" w:cs="Times New Roman"/>
          <w:sz w:val="20"/>
          <w:szCs w:val="20"/>
          <w:lang w:val="hr-HR"/>
        </w:rPr>
        <w:t xml:space="preserve"> i oko 1,99 milijuna stanovnika (2019.), </w:t>
      </w:r>
      <w:r w:rsidR="0086186A" w:rsidRPr="0086186A">
        <w:rPr>
          <w:rFonts w:ascii="Times New Roman" w:hAnsi="Times New Roman" w:cs="Times New Roman"/>
          <w:sz w:val="20"/>
          <w:szCs w:val="20"/>
          <w:lang w:val="hr-HR"/>
        </w:rPr>
        <w:t>od</w:t>
      </w:r>
      <w:r w:rsidRPr="0086186A">
        <w:rPr>
          <w:rFonts w:ascii="Times New Roman" w:hAnsi="Times New Roman" w:cs="Times New Roman"/>
          <w:sz w:val="20"/>
          <w:szCs w:val="20"/>
          <w:lang w:val="hr-HR"/>
        </w:rPr>
        <w:t xml:space="preserve"> kojih 47% živi u Mađarskoj, a 53% u Hrvatskoj. Uključuje tri mađarske županije – Zala, </w:t>
      </w:r>
      <w:proofErr w:type="spellStart"/>
      <w:r w:rsidRPr="0086186A">
        <w:rPr>
          <w:rFonts w:ascii="Times New Roman" w:hAnsi="Times New Roman" w:cs="Times New Roman"/>
          <w:sz w:val="20"/>
          <w:szCs w:val="20"/>
          <w:lang w:val="hr-HR"/>
        </w:rPr>
        <w:t>Somogy</w:t>
      </w:r>
      <w:proofErr w:type="spellEnd"/>
      <w:r w:rsidRPr="0086186A">
        <w:rPr>
          <w:rFonts w:ascii="Times New Roman" w:hAnsi="Times New Roman" w:cs="Times New Roman"/>
          <w:sz w:val="20"/>
          <w:szCs w:val="20"/>
          <w:lang w:val="hr-HR"/>
        </w:rPr>
        <w:t xml:space="preserve"> i </w:t>
      </w:r>
      <w:proofErr w:type="spellStart"/>
      <w:r w:rsidRPr="0086186A">
        <w:rPr>
          <w:rFonts w:ascii="Times New Roman" w:hAnsi="Times New Roman" w:cs="Times New Roman"/>
          <w:sz w:val="20"/>
          <w:szCs w:val="20"/>
          <w:lang w:val="hr-HR"/>
        </w:rPr>
        <w:t>Baranya</w:t>
      </w:r>
      <w:proofErr w:type="spellEnd"/>
      <w:r w:rsidRPr="0086186A">
        <w:rPr>
          <w:rFonts w:ascii="Times New Roman" w:hAnsi="Times New Roman" w:cs="Times New Roman"/>
          <w:sz w:val="20"/>
          <w:szCs w:val="20"/>
          <w:lang w:val="hr-HR"/>
        </w:rPr>
        <w:t xml:space="preserve"> – i osam hrvatskih –</w:t>
      </w:r>
      <w:r w:rsidRPr="0086186A">
        <w:rPr>
          <w:lang w:val="hr-HR"/>
        </w:rPr>
        <w:t xml:space="preserve"> </w:t>
      </w:r>
      <w:r w:rsidRPr="0086186A">
        <w:rPr>
          <w:rFonts w:ascii="Times New Roman" w:hAnsi="Times New Roman" w:cs="Times New Roman"/>
          <w:sz w:val="20"/>
          <w:szCs w:val="20"/>
          <w:lang w:val="hr-HR"/>
        </w:rPr>
        <w:t xml:space="preserve">Bjelovarsko-bilogorska, Koprivničko-križevačka, Međimurska, Osječko-baranjska, Požeško-slavonska, Varaždinska, Virovitičko-podravska i Vukovarsko-srijemska. Na mađarskoj strani programskog područja </w:t>
      </w:r>
      <w:proofErr w:type="spellStart"/>
      <w:r w:rsidRPr="0086186A">
        <w:rPr>
          <w:rFonts w:ascii="Times New Roman" w:hAnsi="Times New Roman" w:cs="Times New Roman"/>
          <w:sz w:val="20"/>
          <w:szCs w:val="20"/>
          <w:lang w:val="hr-HR"/>
        </w:rPr>
        <w:t>Somogy</w:t>
      </w:r>
      <w:proofErr w:type="spellEnd"/>
      <w:r w:rsidRPr="0086186A">
        <w:rPr>
          <w:rFonts w:ascii="Times New Roman" w:hAnsi="Times New Roman" w:cs="Times New Roman"/>
          <w:sz w:val="20"/>
          <w:szCs w:val="20"/>
          <w:lang w:val="hr-HR"/>
        </w:rPr>
        <w:t xml:space="preserve"> je najveća, a </w:t>
      </w:r>
      <w:proofErr w:type="spellStart"/>
      <w:r w:rsidRPr="0086186A">
        <w:rPr>
          <w:rFonts w:ascii="Times New Roman" w:hAnsi="Times New Roman" w:cs="Times New Roman"/>
          <w:sz w:val="20"/>
          <w:szCs w:val="20"/>
          <w:lang w:val="hr-HR"/>
        </w:rPr>
        <w:t>Baranya</w:t>
      </w:r>
      <w:proofErr w:type="spellEnd"/>
      <w:r w:rsidRPr="0086186A">
        <w:rPr>
          <w:rFonts w:ascii="Times New Roman" w:hAnsi="Times New Roman" w:cs="Times New Roman"/>
          <w:sz w:val="20"/>
          <w:szCs w:val="20"/>
          <w:lang w:val="hr-HR"/>
        </w:rPr>
        <w:t xml:space="preserve"> najmnogoljudnija. Programsko područje uglavnom je ruralno, s nekoliko malenih i srednjih gradova.</w:t>
      </w:r>
      <w:r w:rsidR="005A0148" w:rsidRPr="0086186A">
        <w:rPr>
          <w:rFonts w:ascii="Times New Roman" w:hAnsi="Times New Roman" w:cs="Times New Roman"/>
          <w:sz w:val="20"/>
          <w:szCs w:val="20"/>
          <w:lang w:val="hr-HR"/>
        </w:rPr>
        <w:t xml:space="preserve"> Dva velika urbana centra – Pečuh u Mađarskoj i Osijek u Hrvatskoj – nalaze se istočno od područja.</w:t>
      </w:r>
    </w:p>
    <w:p w14:paraId="33532E89" w14:textId="192D1D75" w:rsidR="005A0148" w:rsidRPr="0086186A" w:rsidRDefault="005A0148" w:rsidP="00D8786F">
      <w:pPr>
        <w:pStyle w:val="BodyText"/>
        <w:ind w:left="170" w:right="135"/>
        <w:jc w:val="both"/>
        <w:rPr>
          <w:rFonts w:ascii="Times New Roman" w:hAnsi="Times New Roman" w:cs="Times New Roman"/>
          <w:sz w:val="20"/>
          <w:szCs w:val="20"/>
          <w:lang w:val="hr-HR"/>
        </w:rPr>
      </w:pPr>
    </w:p>
    <w:p w14:paraId="758D3869" w14:textId="22B1707C" w:rsidR="004325FD" w:rsidRPr="0086186A" w:rsidRDefault="005A0148" w:rsidP="00D8786F">
      <w:pPr>
        <w:pStyle w:val="ListParagraph"/>
        <w:numPr>
          <w:ilvl w:val="1"/>
          <w:numId w:val="2"/>
        </w:numPr>
        <w:spacing w:after="0"/>
        <w:ind w:left="788" w:hanging="431"/>
        <w:jc w:val="both"/>
        <w:rPr>
          <w:rFonts w:eastAsia="Times New Roman" w:cs="Times New Roman"/>
          <w:b/>
          <w:noProof/>
          <w:color w:val="000000"/>
          <w:sz w:val="20"/>
          <w:szCs w:val="20"/>
          <w:lang w:val="hr-HR" w:eastAsia="en-GB"/>
        </w:rPr>
      </w:pPr>
      <w:r w:rsidRPr="0086186A">
        <w:rPr>
          <w:rFonts w:eastAsia="Times New Roman" w:cs="Times New Roman"/>
          <w:b/>
          <w:noProof/>
          <w:color w:val="000000"/>
          <w:sz w:val="20"/>
          <w:szCs w:val="20"/>
          <w:lang w:val="hr-HR" w:eastAsia="en-GB"/>
        </w:rPr>
        <w:t>Zajednička programska strategija</w:t>
      </w:r>
      <w:r w:rsidR="00231937" w:rsidRPr="0086186A">
        <w:rPr>
          <w:rFonts w:eastAsia="Times New Roman" w:cs="Times New Roman"/>
          <w:b/>
          <w:noProof/>
          <w:color w:val="000000"/>
          <w:sz w:val="20"/>
          <w:szCs w:val="20"/>
          <w:lang w:val="hr-HR" w:eastAsia="en-GB"/>
        </w:rPr>
        <w:t>:</w:t>
      </w:r>
      <w:r w:rsidRPr="0086186A">
        <w:rPr>
          <w:rFonts w:eastAsia="Times New Roman" w:cs="Times New Roman"/>
          <w:b/>
          <w:noProof/>
          <w:color w:val="000000"/>
          <w:sz w:val="20"/>
          <w:szCs w:val="20"/>
          <w:lang w:val="hr-HR" w:eastAsia="en-GB"/>
        </w:rPr>
        <w:t xml:space="preserve"> Sažetak glavnih zajedničkih izazova, uzimajući u obzir gospodarske, socijalne i teritorijalne razlike i nejednakosti,  zajedničke potrebe za ulaganjima te komplementarnost i sinergije s drugim programima i instrumentima financiranja, pouke iz prijašnjih iskustava te makroregionalne strategije i strategije morskih bazena ako je programsko područje u cjelini ili djelomično obuhvaćeno jednom strategijom ili više njih</w:t>
      </w:r>
      <w:r w:rsidR="004325FD" w:rsidRPr="0086186A">
        <w:rPr>
          <w:rFonts w:eastAsia="Times New Roman" w:cs="Times New Roman"/>
          <w:b/>
          <w:noProof/>
          <w:color w:val="000000"/>
          <w:sz w:val="20"/>
          <w:szCs w:val="20"/>
          <w:lang w:val="hr-HR" w:eastAsia="en-GB"/>
        </w:rPr>
        <w:t>.</w:t>
      </w:r>
    </w:p>
    <w:p w14:paraId="45BA0177" w14:textId="1A6D590A" w:rsidR="003437D0" w:rsidRPr="0086186A" w:rsidRDefault="008A3898" w:rsidP="00D8786F">
      <w:pPr>
        <w:spacing w:after="0" w:line="240" w:lineRule="auto"/>
        <w:jc w:val="both"/>
        <w:rPr>
          <w:rFonts w:cs="Times New Roman"/>
          <w:i/>
          <w:color w:val="000000"/>
          <w:sz w:val="20"/>
          <w:szCs w:val="20"/>
          <w:lang w:val="hr-HR"/>
        </w:rPr>
      </w:pPr>
      <w:r w:rsidRPr="0086186A">
        <w:rPr>
          <w:rFonts w:cs="Times New Roman"/>
          <w:i/>
          <w:color w:val="000000"/>
          <w:sz w:val="20"/>
          <w:szCs w:val="20"/>
          <w:lang w:val="hr-HR"/>
        </w:rPr>
        <w:t>Referenca</w:t>
      </w:r>
      <w:r w:rsidR="005B45F5" w:rsidRPr="0086186A">
        <w:rPr>
          <w:rFonts w:cs="Times New Roman"/>
          <w:i/>
          <w:color w:val="000000"/>
          <w:sz w:val="20"/>
          <w:szCs w:val="20"/>
          <w:lang w:val="hr-HR"/>
        </w:rPr>
        <w:t xml:space="preserve">: </w:t>
      </w:r>
      <w:r w:rsidR="005A0148" w:rsidRPr="0086186A">
        <w:rPr>
          <w:rFonts w:eastAsia="Times New Roman" w:cs="Times New Roman"/>
          <w:i/>
          <w:noProof/>
          <w:sz w:val="20"/>
          <w:szCs w:val="20"/>
          <w:lang w:val="hr-HR" w:eastAsia="en-GB"/>
        </w:rPr>
        <w:t>članak 17. stavak 3. točka (b), članak 17. stavak 9. točka (b)</w:t>
      </w:r>
    </w:p>
    <w:p w14:paraId="4B6B9F50" w14:textId="77777777" w:rsidR="00E3522A" w:rsidRPr="0086186A" w:rsidRDefault="00E3522A" w:rsidP="00D8786F">
      <w:pPr>
        <w:pStyle w:val="BodyText"/>
        <w:ind w:left="170" w:right="135"/>
        <w:jc w:val="both"/>
        <w:rPr>
          <w:rFonts w:ascii="Times New Roman" w:hAnsi="Times New Roman" w:cs="Times New Roman"/>
          <w:i/>
          <w:sz w:val="20"/>
          <w:szCs w:val="20"/>
          <w:lang w:val="hr-HR"/>
        </w:rPr>
      </w:pPr>
      <w:bookmarkStart w:id="0" w:name="_Toc76715454"/>
      <w:bookmarkStart w:id="1" w:name="_Hlk87954629"/>
    </w:p>
    <w:p w14:paraId="5C724DE7" w14:textId="314B120D" w:rsidR="00EB2DCA" w:rsidRPr="0086186A" w:rsidRDefault="00EB2DCA" w:rsidP="00D8786F">
      <w:pPr>
        <w:pStyle w:val="BodyText"/>
        <w:ind w:left="170" w:right="135"/>
        <w:jc w:val="both"/>
        <w:rPr>
          <w:rFonts w:ascii="Times New Roman" w:hAnsi="Times New Roman" w:cs="Times New Roman"/>
          <w:i/>
          <w:sz w:val="20"/>
          <w:szCs w:val="20"/>
          <w:lang w:val="hr-HR"/>
        </w:rPr>
      </w:pPr>
      <w:r w:rsidRPr="0086186A">
        <w:rPr>
          <w:rFonts w:ascii="Times New Roman" w:hAnsi="Times New Roman" w:cs="Times New Roman"/>
          <w:i/>
          <w:sz w:val="20"/>
          <w:szCs w:val="20"/>
          <w:lang w:val="hr-HR"/>
        </w:rPr>
        <w:t>Demogra</w:t>
      </w:r>
      <w:r w:rsidR="005A0148" w:rsidRPr="0086186A">
        <w:rPr>
          <w:rFonts w:ascii="Times New Roman" w:hAnsi="Times New Roman" w:cs="Times New Roman"/>
          <w:i/>
          <w:sz w:val="20"/>
          <w:szCs w:val="20"/>
          <w:lang w:val="hr-HR"/>
        </w:rPr>
        <w:t>fija</w:t>
      </w:r>
    </w:p>
    <w:p w14:paraId="7ACB99C0" w14:textId="77777777" w:rsidR="00E3522A" w:rsidRPr="0086186A" w:rsidRDefault="00E3522A" w:rsidP="00D8786F">
      <w:pPr>
        <w:pStyle w:val="BodyText"/>
        <w:ind w:left="170" w:right="135"/>
        <w:jc w:val="both"/>
        <w:rPr>
          <w:rFonts w:ascii="Times New Roman" w:hAnsi="Times New Roman" w:cs="Times New Roman"/>
          <w:sz w:val="20"/>
          <w:szCs w:val="20"/>
          <w:lang w:val="hr-HR"/>
        </w:rPr>
      </w:pPr>
    </w:p>
    <w:p w14:paraId="2C009249" w14:textId="181DDA9E" w:rsidR="005A0148" w:rsidRPr="0086186A" w:rsidRDefault="005A0148"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U programskom je području gustoća stanovništva ispod europskog i odnosnih nacionalnih prosjeka. Na mađarskoj strani </w:t>
      </w:r>
      <w:proofErr w:type="spellStart"/>
      <w:r w:rsidRPr="0086186A">
        <w:rPr>
          <w:rFonts w:ascii="Times New Roman" w:hAnsi="Times New Roman" w:cs="Times New Roman"/>
          <w:sz w:val="20"/>
          <w:szCs w:val="20"/>
          <w:lang w:val="hr-HR"/>
        </w:rPr>
        <w:t>Somogy</w:t>
      </w:r>
      <w:proofErr w:type="spellEnd"/>
      <w:r w:rsidRPr="0086186A">
        <w:rPr>
          <w:rFonts w:ascii="Times New Roman" w:hAnsi="Times New Roman" w:cs="Times New Roman"/>
          <w:sz w:val="20"/>
          <w:szCs w:val="20"/>
          <w:lang w:val="hr-HR"/>
        </w:rPr>
        <w:t xml:space="preserve"> ima najmanje stanovništva. U Hrvatskoj Međimurska županija i Varaždinska županija imaju više stanovnika od nacionalnog prosjeka u usporedbi sa srednjim dijelom državnog područja, dok su istočne županije bliže hrvatskom prosjeku (72 stanovnika na km</w:t>
      </w:r>
      <w:r w:rsidRPr="0086186A">
        <w:rPr>
          <w:rFonts w:ascii="Times New Roman" w:hAnsi="Times New Roman" w:cs="Times New Roman"/>
          <w:sz w:val="20"/>
          <w:szCs w:val="20"/>
          <w:vertAlign w:val="superscript"/>
          <w:lang w:val="hr-HR"/>
        </w:rPr>
        <w:t>2</w:t>
      </w:r>
      <w:r w:rsidRPr="0086186A">
        <w:rPr>
          <w:rFonts w:ascii="Times New Roman" w:hAnsi="Times New Roman" w:cs="Times New Roman"/>
          <w:sz w:val="20"/>
          <w:szCs w:val="20"/>
          <w:lang w:val="hr-HR"/>
        </w:rPr>
        <w:t xml:space="preserve">). U cijelom programu u proteklom desetljeću </w:t>
      </w:r>
      <w:r w:rsidR="007E3025" w:rsidRPr="0086186A">
        <w:rPr>
          <w:rFonts w:ascii="Times New Roman" w:hAnsi="Times New Roman" w:cs="Times New Roman"/>
          <w:sz w:val="20"/>
          <w:szCs w:val="20"/>
          <w:lang w:val="hr-HR"/>
        </w:rPr>
        <w:t>broj stanovnika se općenito smanjio za 4 – 15%. Pad stanovništva u programskom području iznosio je 167.000 ljudi (113.000 na hrvatskoj strani i 54.000 na mađarskoj strani). Ovaj se trend ubrzava. Najdramatičniji pad stanovništva zabilježen je u Vukovarsko-srijemskoj županiji (-15,1% u usporedbi s 2011.), no i u Požeško-slavonskoj županiji došlo je do značajnog pada u broju stanovnika (-14.,1%) u usporedbi s hrvatskim prosjekom od -4,9%. U tri mađarske županije došlo je do sličnog pada stanovništva od 5 do 7%.</w:t>
      </w:r>
    </w:p>
    <w:p w14:paraId="4C589891" w14:textId="7DE1E337" w:rsidR="007E3025" w:rsidRPr="0086186A" w:rsidRDefault="007E3025" w:rsidP="00D8786F">
      <w:pPr>
        <w:pStyle w:val="BodyText"/>
        <w:ind w:left="170" w:right="135"/>
        <w:jc w:val="both"/>
        <w:rPr>
          <w:rFonts w:ascii="Times New Roman" w:hAnsi="Times New Roman" w:cs="Times New Roman"/>
          <w:sz w:val="20"/>
          <w:szCs w:val="20"/>
          <w:lang w:val="hr-HR"/>
        </w:rPr>
      </w:pPr>
    </w:p>
    <w:p w14:paraId="5DD6AE70" w14:textId="179337A2" w:rsidR="007E3025" w:rsidRPr="0086186A" w:rsidRDefault="007E3025"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Odljev mozgova značajan je rezultat depopulacije, koji dovodi do povećanja udjela starijeg stanovništva i smanjenja udjela mlađeg, zbog čega kvaliteta i broj dostupne radne snage dodatno pada. Omjer gospodarske ovisnosti starijeg stanovništva među tri mađarske županije najpovoljniji je u </w:t>
      </w:r>
      <w:proofErr w:type="spellStart"/>
      <w:r w:rsidRPr="0086186A">
        <w:rPr>
          <w:rFonts w:ascii="Times New Roman" w:hAnsi="Times New Roman" w:cs="Times New Roman"/>
          <w:sz w:val="20"/>
          <w:szCs w:val="20"/>
          <w:lang w:val="hr-HR"/>
        </w:rPr>
        <w:t>Barany</w:t>
      </w:r>
      <w:r w:rsidR="007333FE" w:rsidRPr="0086186A">
        <w:rPr>
          <w:rFonts w:ascii="Times New Roman" w:hAnsi="Times New Roman" w:cs="Times New Roman"/>
          <w:sz w:val="20"/>
          <w:szCs w:val="20"/>
          <w:lang w:val="hr-HR"/>
        </w:rPr>
        <w:t>j</w:t>
      </w:r>
      <w:r w:rsidRPr="0086186A">
        <w:rPr>
          <w:rFonts w:ascii="Times New Roman" w:hAnsi="Times New Roman" w:cs="Times New Roman"/>
          <w:sz w:val="20"/>
          <w:szCs w:val="20"/>
          <w:lang w:val="hr-HR"/>
        </w:rPr>
        <w:t>i</w:t>
      </w:r>
      <w:proofErr w:type="spellEnd"/>
      <w:r w:rsidRPr="0086186A">
        <w:rPr>
          <w:rFonts w:ascii="Times New Roman" w:hAnsi="Times New Roman" w:cs="Times New Roman"/>
          <w:sz w:val="20"/>
          <w:szCs w:val="20"/>
          <w:lang w:val="hr-HR"/>
        </w:rPr>
        <w:t xml:space="preserve">: iznosi 30,9% (2019.), čime je veća od </w:t>
      </w:r>
      <w:r w:rsidR="0086186A" w:rsidRPr="0086186A">
        <w:rPr>
          <w:rFonts w:ascii="Times New Roman" w:hAnsi="Times New Roman" w:cs="Times New Roman"/>
          <w:sz w:val="20"/>
          <w:szCs w:val="20"/>
          <w:lang w:val="hr-HR"/>
        </w:rPr>
        <w:t>nacionalnog</w:t>
      </w:r>
      <w:r w:rsidRPr="0086186A">
        <w:rPr>
          <w:rFonts w:ascii="Times New Roman" w:hAnsi="Times New Roman" w:cs="Times New Roman"/>
          <w:sz w:val="20"/>
          <w:szCs w:val="20"/>
          <w:lang w:val="hr-HR"/>
        </w:rPr>
        <w:t xml:space="preserve"> prosjeka (29,3%). Prosječni omjer gospodarske ovisnosti u Hrvatskoj jest 31,6%, ali mijenja se iz županije u županiju u pograničnom području. Na mađarskoj je strani udio mladih do 19 godina starosti 2 – 3% niži od europskog prosjeka. U županijama Zala i </w:t>
      </w:r>
      <w:proofErr w:type="spellStart"/>
      <w:r w:rsidRPr="0086186A">
        <w:rPr>
          <w:rFonts w:ascii="Times New Roman" w:hAnsi="Times New Roman" w:cs="Times New Roman"/>
          <w:sz w:val="20"/>
          <w:szCs w:val="20"/>
          <w:lang w:val="hr-HR"/>
        </w:rPr>
        <w:t>Somogy</w:t>
      </w:r>
      <w:proofErr w:type="spellEnd"/>
      <w:r w:rsidRPr="0086186A">
        <w:rPr>
          <w:rFonts w:ascii="Times New Roman" w:hAnsi="Times New Roman" w:cs="Times New Roman"/>
          <w:sz w:val="20"/>
          <w:szCs w:val="20"/>
          <w:lang w:val="hr-HR"/>
        </w:rPr>
        <w:t xml:space="preserve"> udio osoba između 20 i 34 godina starosti isto je tako niži od europskog prosjeka za 2% odnosno 1%.</w:t>
      </w:r>
    </w:p>
    <w:p w14:paraId="58F5D24B" w14:textId="69916820" w:rsidR="007E3025" w:rsidRPr="0086186A" w:rsidRDefault="007E3025" w:rsidP="00D8786F">
      <w:pPr>
        <w:pStyle w:val="BodyText"/>
        <w:ind w:left="170" w:right="135"/>
        <w:jc w:val="both"/>
        <w:rPr>
          <w:rFonts w:ascii="Times New Roman" w:hAnsi="Times New Roman" w:cs="Times New Roman"/>
          <w:sz w:val="20"/>
          <w:szCs w:val="20"/>
          <w:lang w:val="hr-HR"/>
        </w:rPr>
      </w:pPr>
    </w:p>
    <w:p w14:paraId="0A548E83" w14:textId="0D97CE15" w:rsidR="007E3025" w:rsidRPr="0086186A" w:rsidRDefault="007E3025"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U pograničnom području zastupljen je širok raspon različitih narodnosti.</w:t>
      </w:r>
      <w:r w:rsidR="0086186A">
        <w:rPr>
          <w:rFonts w:ascii="Times New Roman" w:hAnsi="Times New Roman" w:cs="Times New Roman"/>
          <w:sz w:val="20"/>
          <w:szCs w:val="20"/>
          <w:lang w:val="hr-HR"/>
        </w:rPr>
        <w:t xml:space="preserve"> </w:t>
      </w:r>
      <w:r w:rsidR="007333FE" w:rsidRPr="0086186A">
        <w:rPr>
          <w:rFonts w:ascii="Times New Roman" w:hAnsi="Times New Roman" w:cs="Times New Roman"/>
          <w:sz w:val="20"/>
          <w:szCs w:val="20"/>
          <w:lang w:val="hr-HR"/>
        </w:rPr>
        <w:t xml:space="preserve">U </w:t>
      </w:r>
      <w:proofErr w:type="spellStart"/>
      <w:r w:rsidR="007333FE" w:rsidRPr="0086186A">
        <w:rPr>
          <w:rFonts w:ascii="Times New Roman" w:hAnsi="Times New Roman" w:cs="Times New Roman"/>
          <w:sz w:val="20"/>
          <w:szCs w:val="20"/>
          <w:lang w:val="hr-HR"/>
        </w:rPr>
        <w:t>Baranyji</w:t>
      </w:r>
      <w:proofErr w:type="spellEnd"/>
      <w:r w:rsidR="007333FE" w:rsidRPr="0086186A">
        <w:rPr>
          <w:rFonts w:ascii="Times New Roman" w:hAnsi="Times New Roman" w:cs="Times New Roman"/>
          <w:sz w:val="20"/>
          <w:szCs w:val="20"/>
          <w:lang w:val="hr-HR"/>
        </w:rPr>
        <w:t xml:space="preserve"> je 6,6% stanovništva njemačko, 4,5% romsko, a 1,8% hrvatsko. U </w:t>
      </w:r>
      <w:proofErr w:type="spellStart"/>
      <w:r w:rsidR="007333FE" w:rsidRPr="0086186A">
        <w:rPr>
          <w:rFonts w:ascii="Times New Roman" w:hAnsi="Times New Roman" w:cs="Times New Roman"/>
          <w:sz w:val="20"/>
          <w:szCs w:val="20"/>
          <w:lang w:val="hr-HR"/>
        </w:rPr>
        <w:t>Somogyju</w:t>
      </w:r>
      <w:proofErr w:type="spellEnd"/>
      <w:r w:rsidR="007333FE" w:rsidRPr="0086186A">
        <w:rPr>
          <w:rFonts w:ascii="Times New Roman" w:hAnsi="Times New Roman" w:cs="Times New Roman"/>
          <w:sz w:val="20"/>
          <w:szCs w:val="20"/>
          <w:lang w:val="hr-HR"/>
        </w:rPr>
        <w:t xml:space="preserve"> je registrirano 5,3%, a u Zali 2,6% Roma. Najveći udio stanovništva romske manjine može se pronaći na rubovima regije, blizu granice. Hrvatski dio granice ima 9,58% nacionalnih manjina, od kojih je najveća srpska (4,36%), a slijede je bošnjačka, talijanska, albanska i mađarska (ispod 1%). Od osam županija obuhvaćenih programskim područjem, Vukovarsko-srijemska ima najve</w:t>
      </w:r>
      <w:r w:rsidR="0086186A">
        <w:rPr>
          <w:rFonts w:ascii="Times New Roman" w:hAnsi="Times New Roman" w:cs="Times New Roman"/>
          <w:sz w:val="20"/>
          <w:szCs w:val="20"/>
          <w:lang w:val="hr-HR"/>
        </w:rPr>
        <w:t>ć</w:t>
      </w:r>
      <w:r w:rsidR="007333FE" w:rsidRPr="0086186A">
        <w:rPr>
          <w:rFonts w:ascii="Times New Roman" w:hAnsi="Times New Roman" w:cs="Times New Roman"/>
          <w:sz w:val="20"/>
          <w:szCs w:val="20"/>
          <w:lang w:val="hr-HR"/>
        </w:rPr>
        <w:t>i postotak manjina (oko 20,3%), od kojih su 15,5% Srbi. Značajan broj romskih stanovnika živi u Međimurskoj županiji (4,49%). U Bjelovarsko-bilogorskoj županiji prisutna je značajna češka manjina (5,25%) uz 6,31% srpskog stanovništva.</w:t>
      </w:r>
    </w:p>
    <w:p w14:paraId="55C6B55F" w14:textId="4328E16E" w:rsidR="007333FE" w:rsidRPr="0086186A" w:rsidRDefault="007333FE" w:rsidP="00D8786F">
      <w:pPr>
        <w:pStyle w:val="BodyText"/>
        <w:ind w:left="170" w:right="135"/>
        <w:jc w:val="both"/>
        <w:rPr>
          <w:rFonts w:ascii="Times New Roman" w:hAnsi="Times New Roman" w:cs="Times New Roman"/>
          <w:sz w:val="20"/>
          <w:szCs w:val="20"/>
          <w:lang w:val="hr-HR"/>
        </w:rPr>
      </w:pPr>
    </w:p>
    <w:p w14:paraId="125D07F0" w14:textId="117C63AA" w:rsidR="007333FE" w:rsidRPr="0086186A" w:rsidRDefault="007333FE" w:rsidP="00D8786F">
      <w:pPr>
        <w:pStyle w:val="BodyText"/>
        <w:ind w:left="170" w:right="135"/>
        <w:jc w:val="both"/>
        <w:rPr>
          <w:rFonts w:ascii="Times New Roman" w:hAnsi="Times New Roman" w:cs="Times New Roman"/>
          <w:i/>
          <w:iCs/>
          <w:sz w:val="20"/>
          <w:szCs w:val="20"/>
          <w:lang w:val="hr-HR"/>
        </w:rPr>
      </w:pPr>
      <w:r w:rsidRPr="0086186A">
        <w:rPr>
          <w:rFonts w:ascii="Times New Roman" w:hAnsi="Times New Roman" w:cs="Times New Roman"/>
          <w:i/>
          <w:iCs/>
          <w:sz w:val="20"/>
          <w:szCs w:val="20"/>
          <w:lang w:val="hr-HR"/>
        </w:rPr>
        <w:t>Prostorna struktura</w:t>
      </w:r>
    </w:p>
    <w:p w14:paraId="6C082FB2" w14:textId="111AAFAF" w:rsidR="007333FE" w:rsidRPr="0086186A" w:rsidRDefault="007333FE" w:rsidP="00D8786F">
      <w:pPr>
        <w:pStyle w:val="BodyText"/>
        <w:ind w:left="170" w:right="135"/>
        <w:jc w:val="both"/>
        <w:rPr>
          <w:rFonts w:ascii="Times New Roman" w:hAnsi="Times New Roman" w:cs="Times New Roman"/>
          <w:sz w:val="20"/>
          <w:szCs w:val="20"/>
          <w:lang w:val="hr-HR"/>
        </w:rPr>
      </w:pPr>
    </w:p>
    <w:p w14:paraId="47D29554" w14:textId="4AE7A9FB" w:rsidR="007333FE" w:rsidRPr="0086186A" w:rsidRDefault="007333FE"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Pogranično područje djelomično je okruženo vodnim sustavima: Balatonskim jezerom na sjeveru, Dunavom na istoku i Savom na jugoistoku.</w:t>
      </w:r>
      <w:r w:rsidR="00233AEF" w:rsidRPr="0086186A">
        <w:rPr>
          <w:rFonts w:ascii="Times New Roman" w:hAnsi="Times New Roman" w:cs="Times New Roman"/>
          <w:sz w:val="20"/>
          <w:szCs w:val="20"/>
          <w:lang w:val="hr-HR"/>
        </w:rPr>
        <w:t xml:space="preserve"> Državna granica Mađarske i Hrvatske pretežno slijedi rijeke Muru i Dravu. Programsko područje sastoji se uglavnom od brda i plodnih ravnica uz rijeke. U sredini hrvatskog</w:t>
      </w:r>
      <w:r w:rsidR="005A7CF2" w:rsidRPr="0086186A">
        <w:rPr>
          <w:rFonts w:ascii="Times New Roman" w:hAnsi="Times New Roman" w:cs="Times New Roman"/>
          <w:sz w:val="20"/>
          <w:szCs w:val="20"/>
          <w:lang w:val="hr-HR"/>
        </w:rPr>
        <w:t xml:space="preserve"> dijela smješteno je Slavonsko gorje (Papuk visine 953 m, a Psunj 983 m) s prostranim šumama.</w:t>
      </w:r>
      <w:r w:rsidR="00702C18" w:rsidRPr="0086186A">
        <w:rPr>
          <w:rFonts w:ascii="Times New Roman" w:hAnsi="Times New Roman" w:cs="Times New Roman"/>
          <w:sz w:val="20"/>
          <w:szCs w:val="20"/>
          <w:lang w:val="hr-HR"/>
        </w:rPr>
        <w:t xml:space="preserve"> Najviša je planina Ivanščica (1.059 m) u najzapadnijem dijelu programskog područja. Brdo </w:t>
      </w:r>
      <w:proofErr w:type="spellStart"/>
      <w:r w:rsidR="00702C18" w:rsidRPr="0086186A">
        <w:rPr>
          <w:rFonts w:ascii="Times New Roman" w:hAnsi="Times New Roman" w:cs="Times New Roman"/>
          <w:sz w:val="20"/>
          <w:szCs w:val="20"/>
          <w:lang w:val="hr-HR"/>
        </w:rPr>
        <w:t>Mecsek</w:t>
      </w:r>
      <w:proofErr w:type="spellEnd"/>
      <w:r w:rsidR="00702C18" w:rsidRPr="0086186A">
        <w:rPr>
          <w:rFonts w:ascii="Times New Roman" w:hAnsi="Times New Roman" w:cs="Times New Roman"/>
          <w:sz w:val="20"/>
          <w:szCs w:val="20"/>
          <w:lang w:val="hr-HR"/>
        </w:rPr>
        <w:t xml:space="preserve"> (682 m) nalazi se u županiji </w:t>
      </w:r>
      <w:proofErr w:type="spellStart"/>
      <w:r w:rsidR="00702C18" w:rsidRPr="0086186A">
        <w:rPr>
          <w:rFonts w:ascii="Times New Roman" w:hAnsi="Times New Roman" w:cs="Times New Roman"/>
          <w:sz w:val="20"/>
          <w:szCs w:val="20"/>
          <w:lang w:val="hr-HR"/>
        </w:rPr>
        <w:t>Baranyji</w:t>
      </w:r>
      <w:proofErr w:type="spellEnd"/>
      <w:r w:rsidR="00702C18" w:rsidRPr="0086186A">
        <w:rPr>
          <w:rFonts w:ascii="Times New Roman" w:hAnsi="Times New Roman" w:cs="Times New Roman"/>
          <w:sz w:val="20"/>
          <w:szCs w:val="20"/>
          <w:lang w:val="hr-HR"/>
        </w:rPr>
        <w:t xml:space="preserve"> u Mađarskoj, sjeverno od grada Pečuha. Nadalje je potrebno spomenuti planinu Kalnik u zapadnom dijelu hrvatske strane (642 m). Programsko područje uglavnom je ruralno i u njemu su samo četiri grada s preko 50.000 stanovnika: jedan u Hrvatskoj (Osijek) i tri sjedišta županije u Mađarskoj (Pečuh, </w:t>
      </w:r>
      <w:proofErr w:type="spellStart"/>
      <w:r w:rsidR="00702C18" w:rsidRPr="0086186A">
        <w:rPr>
          <w:rFonts w:ascii="Times New Roman" w:hAnsi="Times New Roman" w:cs="Times New Roman"/>
          <w:sz w:val="20"/>
          <w:szCs w:val="20"/>
          <w:lang w:val="hr-HR"/>
        </w:rPr>
        <w:t>Kaposvár</w:t>
      </w:r>
      <w:proofErr w:type="spellEnd"/>
      <w:r w:rsidR="00702C18" w:rsidRPr="0086186A">
        <w:rPr>
          <w:rFonts w:ascii="Times New Roman" w:hAnsi="Times New Roman" w:cs="Times New Roman"/>
          <w:sz w:val="20"/>
          <w:szCs w:val="20"/>
          <w:lang w:val="hr-HR"/>
        </w:rPr>
        <w:t xml:space="preserve"> i </w:t>
      </w:r>
      <w:proofErr w:type="spellStart"/>
      <w:r w:rsidR="00702C18" w:rsidRPr="0086186A">
        <w:rPr>
          <w:rFonts w:ascii="Times New Roman" w:hAnsi="Times New Roman" w:cs="Times New Roman"/>
          <w:sz w:val="20"/>
          <w:szCs w:val="20"/>
          <w:lang w:val="hr-HR"/>
        </w:rPr>
        <w:t>Zalaegerszeg</w:t>
      </w:r>
      <w:proofErr w:type="spellEnd"/>
      <w:r w:rsidR="00702C18" w:rsidRPr="0086186A">
        <w:rPr>
          <w:rFonts w:ascii="Times New Roman" w:hAnsi="Times New Roman" w:cs="Times New Roman"/>
          <w:sz w:val="20"/>
          <w:szCs w:val="20"/>
          <w:lang w:val="hr-HR"/>
        </w:rPr>
        <w:t xml:space="preserve">). U tom su krugu četiri funkcionalna urbana područja, od kojih je najveće Pečuh s 250.000 stanovnika. Funkcionalno urbano područje Osijeka ima 170.000 stanovnika, a </w:t>
      </w:r>
      <w:proofErr w:type="spellStart"/>
      <w:r w:rsidR="00702C18" w:rsidRPr="0086186A">
        <w:rPr>
          <w:rFonts w:ascii="Times New Roman" w:hAnsi="Times New Roman" w:cs="Times New Roman"/>
          <w:sz w:val="20"/>
          <w:szCs w:val="20"/>
          <w:lang w:val="hr-HR"/>
        </w:rPr>
        <w:t>Kaposvár</w:t>
      </w:r>
      <w:proofErr w:type="spellEnd"/>
      <w:r w:rsidR="00702C18" w:rsidRPr="0086186A">
        <w:rPr>
          <w:rFonts w:ascii="Times New Roman" w:hAnsi="Times New Roman" w:cs="Times New Roman"/>
          <w:sz w:val="20"/>
          <w:szCs w:val="20"/>
          <w:lang w:val="hr-HR"/>
        </w:rPr>
        <w:t xml:space="preserve"> i </w:t>
      </w:r>
      <w:proofErr w:type="spellStart"/>
      <w:r w:rsidR="00702C18" w:rsidRPr="0086186A">
        <w:rPr>
          <w:rFonts w:ascii="Times New Roman" w:hAnsi="Times New Roman" w:cs="Times New Roman"/>
          <w:sz w:val="20"/>
          <w:szCs w:val="20"/>
          <w:lang w:val="hr-HR"/>
        </w:rPr>
        <w:t>Zalaegerszeg</w:t>
      </w:r>
      <w:proofErr w:type="spellEnd"/>
      <w:r w:rsidR="00702C18" w:rsidRPr="0086186A">
        <w:rPr>
          <w:rFonts w:ascii="Times New Roman" w:hAnsi="Times New Roman" w:cs="Times New Roman"/>
          <w:sz w:val="20"/>
          <w:szCs w:val="20"/>
          <w:lang w:val="hr-HR"/>
        </w:rPr>
        <w:t xml:space="preserve"> imaju svaki po 110.000 stanovnika.</w:t>
      </w:r>
    </w:p>
    <w:p w14:paraId="4A627A11" w14:textId="3EF1B578" w:rsidR="00702C18" w:rsidRPr="0086186A" w:rsidRDefault="00702C18" w:rsidP="00D8786F">
      <w:pPr>
        <w:pStyle w:val="BodyText"/>
        <w:ind w:left="170" w:right="135"/>
        <w:jc w:val="both"/>
        <w:rPr>
          <w:rFonts w:ascii="Times New Roman" w:hAnsi="Times New Roman" w:cs="Times New Roman"/>
          <w:sz w:val="20"/>
          <w:szCs w:val="20"/>
          <w:lang w:val="hr-HR"/>
        </w:rPr>
      </w:pPr>
    </w:p>
    <w:p w14:paraId="59CB8785" w14:textId="22F9F247" w:rsidR="00702C18" w:rsidRPr="0086186A" w:rsidRDefault="00702C18"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Područje je obilježeno sustavom disperziranih malih naselja. Na mađarskoj strani </w:t>
      </w:r>
      <w:proofErr w:type="spellStart"/>
      <w:r w:rsidRPr="0086186A">
        <w:rPr>
          <w:rFonts w:ascii="Times New Roman" w:hAnsi="Times New Roman" w:cs="Times New Roman"/>
          <w:sz w:val="20"/>
          <w:szCs w:val="20"/>
          <w:lang w:val="hr-HR"/>
        </w:rPr>
        <w:t>Baranya</w:t>
      </w:r>
      <w:proofErr w:type="spellEnd"/>
      <w:r w:rsidRPr="0086186A">
        <w:rPr>
          <w:rFonts w:ascii="Times New Roman" w:hAnsi="Times New Roman" w:cs="Times New Roman"/>
          <w:sz w:val="20"/>
          <w:szCs w:val="20"/>
          <w:lang w:val="hr-HR"/>
        </w:rPr>
        <w:t xml:space="preserve"> i Zala imaju </w:t>
      </w:r>
      <w:proofErr w:type="spellStart"/>
      <w:r w:rsidRPr="0086186A">
        <w:rPr>
          <w:rFonts w:ascii="Times New Roman" w:hAnsi="Times New Roman" w:cs="Times New Roman"/>
          <w:sz w:val="20"/>
          <w:szCs w:val="20"/>
          <w:lang w:val="hr-HR"/>
        </w:rPr>
        <w:t>najdisperziraniju</w:t>
      </w:r>
      <w:proofErr w:type="spellEnd"/>
      <w:r w:rsidRPr="0086186A">
        <w:rPr>
          <w:rFonts w:ascii="Times New Roman" w:hAnsi="Times New Roman" w:cs="Times New Roman"/>
          <w:sz w:val="20"/>
          <w:szCs w:val="20"/>
          <w:lang w:val="hr-HR"/>
        </w:rPr>
        <w:t xml:space="preserve"> strukturu naselja. Na hrvatskoj strani zapadne županije imaju izrazito visok broj naselja, dok su Osječko-baranjska županija i Vukovarsko-srijemska županija obilježene znatno manjom gustoćom naselja. Temelj </w:t>
      </w:r>
      <w:r w:rsidR="007A26D5" w:rsidRPr="0086186A">
        <w:rPr>
          <w:rFonts w:ascii="Times New Roman" w:hAnsi="Times New Roman" w:cs="Times New Roman"/>
          <w:sz w:val="20"/>
          <w:szCs w:val="20"/>
          <w:lang w:val="hr-HR"/>
        </w:rPr>
        <w:t xml:space="preserve">mreže naselja čine gradići s brojem stanovnika između 10.000 i 50.000 (devet u Mađarskoj i deset u Hrvatskoj). Potrebno je napomenuti i da su mađarski gradići uz granicu (Lenti, </w:t>
      </w:r>
      <w:proofErr w:type="spellStart"/>
      <w:r w:rsidR="007A26D5" w:rsidRPr="0086186A">
        <w:rPr>
          <w:rFonts w:ascii="Times New Roman" w:hAnsi="Times New Roman" w:cs="Times New Roman"/>
          <w:sz w:val="20"/>
          <w:szCs w:val="20"/>
          <w:lang w:val="hr-HR"/>
        </w:rPr>
        <w:t>Letenye</w:t>
      </w:r>
      <w:proofErr w:type="spellEnd"/>
      <w:r w:rsidR="007A26D5" w:rsidRPr="0086186A">
        <w:rPr>
          <w:rFonts w:ascii="Times New Roman" w:hAnsi="Times New Roman" w:cs="Times New Roman"/>
          <w:sz w:val="20"/>
          <w:szCs w:val="20"/>
          <w:lang w:val="hr-HR"/>
        </w:rPr>
        <w:t xml:space="preserve">, </w:t>
      </w:r>
      <w:proofErr w:type="spellStart"/>
      <w:r w:rsidR="007A26D5" w:rsidRPr="0086186A">
        <w:rPr>
          <w:rFonts w:ascii="Times New Roman" w:hAnsi="Times New Roman" w:cs="Times New Roman"/>
          <w:sz w:val="20"/>
          <w:szCs w:val="20"/>
          <w:lang w:val="hr-HR"/>
        </w:rPr>
        <w:t>Csurgó</w:t>
      </w:r>
      <w:proofErr w:type="spellEnd"/>
      <w:r w:rsidR="007A26D5" w:rsidRPr="0086186A">
        <w:rPr>
          <w:rFonts w:ascii="Times New Roman" w:hAnsi="Times New Roman" w:cs="Times New Roman"/>
          <w:sz w:val="20"/>
          <w:szCs w:val="20"/>
          <w:lang w:val="hr-HR"/>
        </w:rPr>
        <w:t xml:space="preserve">, </w:t>
      </w:r>
      <w:proofErr w:type="spellStart"/>
      <w:r w:rsidR="007A26D5" w:rsidRPr="0086186A">
        <w:rPr>
          <w:rFonts w:ascii="Times New Roman" w:hAnsi="Times New Roman" w:cs="Times New Roman"/>
          <w:sz w:val="20"/>
          <w:szCs w:val="20"/>
          <w:lang w:val="hr-HR"/>
        </w:rPr>
        <w:t>Bar</w:t>
      </w:r>
      <w:r w:rsidR="00AB4087" w:rsidRPr="0086186A">
        <w:rPr>
          <w:rFonts w:ascii="Times New Roman" w:hAnsi="Times New Roman" w:cs="Times New Roman"/>
          <w:sz w:val="20"/>
          <w:szCs w:val="20"/>
          <w:lang w:val="hr-HR"/>
        </w:rPr>
        <w:t>č</w:t>
      </w:r>
      <w:proofErr w:type="spellEnd"/>
      <w:r w:rsidR="007A26D5" w:rsidRPr="0086186A">
        <w:rPr>
          <w:rFonts w:ascii="Times New Roman" w:hAnsi="Times New Roman" w:cs="Times New Roman"/>
          <w:sz w:val="20"/>
          <w:szCs w:val="20"/>
          <w:lang w:val="hr-HR"/>
        </w:rPr>
        <w:t xml:space="preserve">, </w:t>
      </w:r>
      <w:proofErr w:type="spellStart"/>
      <w:r w:rsidR="007A26D5" w:rsidRPr="0086186A">
        <w:rPr>
          <w:rFonts w:ascii="Times New Roman" w:hAnsi="Times New Roman" w:cs="Times New Roman"/>
          <w:sz w:val="20"/>
          <w:szCs w:val="20"/>
          <w:lang w:val="hr-HR"/>
        </w:rPr>
        <w:t>Sellye</w:t>
      </w:r>
      <w:proofErr w:type="spellEnd"/>
      <w:r w:rsidR="007A26D5" w:rsidRPr="0086186A">
        <w:rPr>
          <w:rFonts w:ascii="Times New Roman" w:hAnsi="Times New Roman" w:cs="Times New Roman"/>
          <w:sz w:val="20"/>
          <w:szCs w:val="20"/>
          <w:lang w:val="hr-HR"/>
        </w:rPr>
        <w:t xml:space="preserve">, </w:t>
      </w:r>
      <w:proofErr w:type="spellStart"/>
      <w:r w:rsidR="007A26D5" w:rsidRPr="0086186A">
        <w:rPr>
          <w:rFonts w:ascii="Times New Roman" w:hAnsi="Times New Roman" w:cs="Times New Roman"/>
          <w:sz w:val="20"/>
          <w:szCs w:val="20"/>
          <w:lang w:val="hr-HR"/>
        </w:rPr>
        <w:t>Siklós</w:t>
      </w:r>
      <w:proofErr w:type="spellEnd"/>
      <w:r w:rsidR="007A26D5" w:rsidRPr="0086186A">
        <w:rPr>
          <w:rFonts w:ascii="Times New Roman" w:hAnsi="Times New Roman" w:cs="Times New Roman"/>
          <w:sz w:val="20"/>
          <w:szCs w:val="20"/>
          <w:lang w:val="hr-HR"/>
        </w:rPr>
        <w:t>) redom relativno mali urbani centri s vrlo ograničenim uslugama. Na Hr</w:t>
      </w:r>
      <w:r w:rsidR="0086186A">
        <w:rPr>
          <w:rFonts w:ascii="Times New Roman" w:hAnsi="Times New Roman" w:cs="Times New Roman"/>
          <w:sz w:val="20"/>
          <w:szCs w:val="20"/>
          <w:lang w:val="hr-HR"/>
        </w:rPr>
        <w:t>v</w:t>
      </w:r>
      <w:r w:rsidR="007A26D5" w:rsidRPr="0086186A">
        <w:rPr>
          <w:rFonts w:ascii="Times New Roman" w:hAnsi="Times New Roman" w:cs="Times New Roman"/>
          <w:sz w:val="20"/>
          <w:szCs w:val="20"/>
          <w:lang w:val="hr-HR"/>
        </w:rPr>
        <w:t>atskoj je strani Varaždin važna vrata prema sjeverozapadnoj Hrvatskoj. Bjelovar, Čakovec, Daruvar, Đakovo, Koprivnica, Križevci, Požega, Vinkovci, Virovitica i Vukovar imaju svaki više od 10.000 stanov</w:t>
      </w:r>
      <w:r w:rsidR="0086186A">
        <w:rPr>
          <w:rFonts w:ascii="Times New Roman" w:hAnsi="Times New Roman" w:cs="Times New Roman"/>
          <w:sz w:val="20"/>
          <w:szCs w:val="20"/>
          <w:lang w:val="hr-HR"/>
        </w:rPr>
        <w:t>n</w:t>
      </w:r>
      <w:r w:rsidR="007A26D5" w:rsidRPr="0086186A">
        <w:rPr>
          <w:rFonts w:ascii="Times New Roman" w:hAnsi="Times New Roman" w:cs="Times New Roman"/>
          <w:sz w:val="20"/>
          <w:szCs w:val="20"/>
          <w:lang w:val="hr-HR"/>
        </w:rPr>
        <w:t>ika i djeluju kao regionalni centri srednje veličine, no imaju ograničene kapacitete za pružanje usluga i objekata na regionalnoj razini.</w:t>
      </w:r>
    </w:p>
    <w:p w14:paraId="66651600" w14:textId="4F09E1E1" w:rsidR="007A26D5" w:rsidRPr="0086186A" w:rsidRDefault="007A26D5" w:rsidP="00D8786F">
      <w:pPr>
        <w:pStyle w:val="BodyText"/>
        <w:ind w:left="170" w:right="135"/>
        <w:jc w:val="both"/>
        <w:rPr>
          <w:rFonts w:ascii="Times New Roman" w:hAnsi="Times New Roman" w:cs="Times New Roman"/>
          <w:sz w:val="20"/>
          <w:szCs w:val="20"/>
          <w:lang w:val="hr-HR"/>
        </w:rPr>
      </w:pPr>
    </w:p>
    <w:p w14:paraId="492B5373" w14:textId="434F7EAE" w:rsidR="007A26D5" w:rsidRPr="0086186A" w:rsidRDefault="007A26D5" w:rsidP="00D8786F">
      <w:pPr>
        <w:pStyle w:val="BodyText"/>
        <w:ind w:left="170" w:right="135"/>
        <w:jc w:val="both"/>
        <w:rPr>
          <w:rFonts w:ascii="Times New Roman" w:hAnsi="Times New Roman" w:cs="Times New Roman"/>
          <w:i/>
          <w:iCs/>
          <w:sz w:val="20"/>
          <w:szCs w:val="20"/>
          <w:lang w:val="hr-HR"/>
        </w:rPr>
      </w:pPr>
      <w:r w:rsidRPr="0086186A">
        <w:rPr>
          <w:rFonts w:ascii="Times New Roman" w:hAnsi="Times New Roman" w:cs="Times New Roman"/>
          <w:i/>
          <w:iCs/>
          <w:sz w:val="20"/>
          <w:szCs w:val="20"/>
          <w:lang w:val="hr-HR"/>
        </w:rPr>
        <w:t>Gospodarstvo i inovacije</w:t>
      </w:r>
    </w:p>
    <w:p w14:paraId="5BBBBEE3" w14:textId="4C96F6F6" w:rsidR="007A26D5" w:rsidRPr="0086186A" w:rsidRDefault="007A26D5" w:rsidP="00D8786F">
      <w:pPr>
        <w:pStyle w:val="BodyText"/>
        <w:ind w:left="170" w:right="135"/>
        <w:jc w:val="both"/>
        <w:rPr>
          <w:rFonts w:ascii="Times New Roman" w:hAnsi="Times New Roman" w:cs="Times New Roman"/>
          <w:sz w:val="20"/>
          <w:szCs w:val="20"/>
          <w:lang w:val="hr-HR"/>
        </w:rPr>
      </w:pPr>
    </w:p>
    <w:p w14:paraId="568D15CE" w14:textId="10AEB080" w:rsidR="007A26D5" w:rsidRPr="0086186A" w:rsidRDefault="001667B1"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S obzirom na odnosnu državu i europske prosjeke, pogranično područje zaostaje. Gospodarstvo ima niske stope rasta, a nejednakosti u pograničnom području su velike. Županije s boljim gospodarskim rezultatima dosegle su barem polovicu prosječne europske stope rasta posljednjih godina. To su Zala, Varaždinska županija i Međimurska županija. Osječko-baranjska županija je iznimka, s višom stopom na jugoistočnoj strani.</w:t>
      </w:r>
      <w:r w:rsidR="00DD6C31" w:rsidRPr="0086186A">
        <w:rPr>
          <w:rFonts w:ascii="Times New Roman" w:hAnsi="Times New Roman" w:cs="Times New Roman"/>
          <w:sz w:val="20"/>
          <w:szCs w:val="20"/>
          <w:lang w:val="hr-HR"/>
        </w:rPr>
        <w:t xml:space="preserve"> Općenito se može reći da se na području opaža razlika na liniji istoka i zapada u pogledu gospodarske aktivnosti i proizvodnje. S obzirom na gospodarske trendove od 2007. do 2017., nijedna država nije se uspjela oporaviti od gospodarske krize 2008. i 2009.</w:t>
      </w:r>
    </w:p>
    <w:p w14:paraId="18B5D281" w14:textId="12595497" w:rsidR="00DD6C31" w:rsidRPr="0086186A" w:rsidRDefault="00DD6C31" w:rsidP="00D8786F">
      <w:pPr>
        <w:pStyle w:val="BodyText"/>
        <w:ind w:left="170" w:right="135"/>
        <w:jc w:val="both"/>
        <w:rPr>
          <w:rFonts w:ascii="Times New Roman" w:hAnsi="Times New Roman" w:cs="Times New Roman"/>
          <w:sz w:val="20"/>
          <w:szCs w:val="20"/>
          <w:lang w:val="hr-HR"/>
        </w:rPr>
      </w:pPr>
    </w:p>
    <w:p w14:paraId="080EE167" w14:textId="750F4B04" w:rsidR="00DD6C31" w:rsidRPr="0086186A" w:rsidRDefault="00DD6C31"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Što se tiče i</w:t>
      </w:r>
      <w:r w:rsidR="00E80295" w:rsidRPr="0086186A">
        <w:rPr>
          <w:rFonts w:ascii="Times New Roman" w:hAnsi="Times New Roman" w:cs="Times New Roman"/>
          <w:sz w:val="20"/>
          <w:szCs w:val="20"/>
          <w:lang w:val="hr-HR"/>
        </w:rPr>
        <w:t xml:space="preserve">zdataka </w:t>
      </w:r>
      <w:r w:rsidRPr="0086186A">
        <w:rPr>
          <w:rFonts w:ascii="Times New Roman" w:hAnsi="Times New Roman" w:cs="Times New Roman"/>
          <w:sz w:val="20"/>
          <w:szCs w:val="20"/>
          <w:lang w:val="hr-HR"/>
        </w:rPr>
        <w:t xml:space="preserve">za istraživanje i razvoj, pogranično područje Mađarske i Hrvatske vrlo je slično situaciji uz obje države u cjelini. </w:t>
      </w:r>
      <w:r w:rsidR="00E80295" w:rsidRPr="0086186A">
        <w:rPr>
          <w:rFonts w:ascii="Times New Roman" w:hAnsi="Times New Roman" w:cs="Times New Roman"/>
          <w:sz w:val="20"/>
          <w:szCs w:val="20"/>
          <w:lang w:val="hr-HR"/>
        </w:rPr>
        <w:t>Izdaci</w:t>
      </w:r>
      <w:r w:rsidRPr="0086186A">
        <w:rPr>
          <w:rFonts w:ascii="Times New Roman" w:hAnsi="Times New Roman" w:cs="Times New Roman"/>
          <w:sz w:val="20"/>
          <w:szCs w:val="20"/>
          <w:lang w:val="hr-HR"/>
        </w:rPr>
        <w:t xml:space="preserve"> za istraživanje i razvoj iznosil</w:t>
      </w:r>
      <w:r w:rsidR="00E80295" w:rsidRPr="0086186A">
        <w:rPr>
          <w:rFonts w:ascii="Times New Roman" w:hAnsi="Times New Roman" w:cs="Times New Roman"/>
          <w:sz w:val="20"/>
          <w:szCs w:val="20"/>
          <w:lang w:val="hr-HR"/>
        </w:rPr>
        <w:t>i</w:t>
      </w:r>
      <w:r w:rsidRPr="0086186A">
        <w:rPr>
          <w:rFonts w:ascii="Times New Roman" w:hAnsi="Times New Roman" w:cs="Times New Roman"/>
          <w:sz w:val="20"/>
          <w:szCs w:val="20"/>
          <w:lang w:val="hr-HR"/>
        </w:rPr>
        <w:t xml:space="preserve"> su oko 1,07% BDP-a u kontinentalnoj Hrvatskoj i 0,5 – 1% u dvije mađarske regije </w:t>
      </w:r>
      <w:proofErr w:type="spellStart"/>
      <w:r w:rsidRPr="0086186A">
        <w:rPr>
          <w:rFonts w:ascii="Times New Roman" w:hAnsi="Times New Roman" w:cs="Times New Roman"/>
          <w:sz w:val="20"/>
          <w:szCs w:val="20"/>
          <w:lang w:val="hr-HR"/>
        </w:rPr>
        <w:t>NUTS</w:t>
      </w:r>
      <w:proofErr w:type="spellEnd"/>
      <w:r w:rsidRPr="0086186A">
        <w:rPr>
          <w:rFonts w:ascii="Times New Roman" w:hAnsi="Times New Roman" w:cs="Times New Roman"/>
          <w:sz w:val="20"/>
          <w:szCs w:val="20"/>
          <w:lang w:val="hr-HR"/>
        </w:rPr>
        <w:t xml:space="preserve"> 2. Na razini županija, izda</w:t>
      </w:r>
      <w:r w:rsidR="00E80295" w:rsidRPr="0086186A">
        <w:rPr>
          <w:rFonts w:ascii="Times New Roman" w:hAnsi="Times New Roman" w:cs="Times New Roman"/>
          <w:sz w:val="20"/>
          <w:szCs w:val="20"/>
          <w:lang w:val="hr-HR"/>
        </w:rPr>
        <w:t>ci</w:t>
      </w:r>
      <w:r w:rsidRPr="0086186A">
        <w:rPr>
          <w:rFonts w:ascii="Times New Roman" w:hAnsi="Times New Roman" w:cs="Times New Roman"/>
          <w:sz w:val="20"/>
          <w:szCs w:val="20"/>
          <w:lang w:val="hr-HR"/>
        </w:rPr>
        <w:t xml:space="preserve"> za istraživanje i razvoj u </w:t>
      </w:r>
      <w:r w:rsidR="00E80295" w:rsidRPr="0086186A">
        <w:rPr>
          <w:rFonts w:ascii="Times New Roman" w:hAnsi="Times New Roman" w:cs="Times New Roman"/>
          <w:sz w:val="20"/>
          <w:szCs w:val="20"/>
          <w:lang w:val="hr-HR"/>
        </w:rPr>
        <w:t>M</w:t>
      </w:r>
      <w:r w:rsidRPr="0086186A">
        <w:rPr>
          <w:rFonts w:ascii="Times New Roman" w:hAnsi="Times New Roman" w:cs="Times New Roman"/>
          <w:sz w:val="20"/>
          <w:szCs w:val="20"/>
          <w:lang w:val="hr-HR"/>
        </w:rPr>
        <w:t>ađarskoj</w:t>
      </w:r>
      <w:r w:rsidR="00E80295" w:rsidRPr="0086186A">
        <w:rPr>
          <w:rFonts w:ascii="Times New Roman" w:hAnsi="Times New Roman" w:cs="Times New Roman"/>
          <w:sz w:val="20"/>
          <w:szCs w:val="20"/>
          <w:lang w:val="hr-HR"/>
        </w:rPr>
        <w:t xml:space="preserve"> najviši su u </w:t>
      </w:r>
      <w:proofErr w:type="spellStart"/>
      <w:r w:rsidR="00E80295" w:rsidRPr="0086186A">
        <w:rPr>
          <w:rFonts w:ascii="Times New Roman" w:hAnsi="Times New Roman" w:cs="Times New Roman"/>
          <w:sz w:val="20"/>
          <w:szCs w:val="20"/>
          <w:lang w:val="hr-HR"/>
        </w:rPr>
        <w:t>Baranyji</w:t>
      </w:r>
      <w:proofErr w:type="spellEnd"/>
      <w:r w:rsidR="00E80295" w:rsidRPr="0086186A">
        <w:rPr>
          <w:rFonts w:ascii="Times New Roman" w:hAnsi="Times New Roman" w:cs="Times New Roman"/>
          <w:sz w:val="20"/>
          <w:szCs w:val="20"/>
          <w:lang w:val="hr-HR"/>
        </w:rPr>
        <w:t>, gdje su u 2010. iznosil</w:t>
      </w:r>
      <w:r w:rsidR="00536182" w:rsidRPr="0086186A">
        <w:rPr>
          <w:rFonts w:ascii="Times New Roman" w:hAnsi="Times New Roman" w:cs="Times New Roman"/>
          <w:sz w:val="20"/>
          <w:szCs w:val="20"/>
          <w:lang w:val="hr-HR"/>
        </w:rPr>
        <w:t>i</w:t>
      </w:r>
      <w:r w:rsidR="00E80295" w:rsidRPr="0086186A">
        <w:rPr>
          <w:rFonts w:ascii="Times New Roman" w:hAnsi="Times New Roman" w:cs="Times New Roman"/>
          <w:sz w:val="20"/>
          <w:szCs w:val="20"/>
          <w:lang w:val="hr-HR"/>
        </w:rPr>
        <w:t xml:space="preserve"> 0,8% BDP-a, što je čak ispod nacionalne brojke od 1,16% i manje od polovice stope od 2% u EU-27. U Zali je ta brojka četvrtina one u </w:t>
      </w:r>
      <w:proofErr w:type="spellStart"/>
      <w:r w:rsidR="00E80295" w:rsidRPr="0086186A">
        <w:rPr>
          <w:rFonts w:ascii="Times New Roman" w:hAnsi="Times New Roman" w:cs="Times New Roman"/>
          <w:sz w:val="20"/>
          <w:szCs w:val="20"/>
          <w:lang w:val="hr-HR"/>
        </w:rPr>
        <w:t>Baranyji</w:t>
      </w:r>
      <w:proofErr w:type="spellEnd"/>
      <w:r w:rsidR="00E80295" w:rsidRPr="0086186A">
        <w:rPr>
          <w:rFonts w:ascii="Times New Roman" w:hAnsi="Times New Roman" w:cs="Times New Roman"/>
          <w:sz w:val="20"/>
          <w:szCs w:val="20"/>
          <w:lang w:val="hr-HR"/>
        </w:rPr>
        <w:t xml:space="preserve"> (0,2%), a u </w:t>
      </w:r>
      <w:proofErr w:type="spellStart"/>
      <w:r w:rsidR="00E80295" w:rsidRPr="0086186A">
        <w:rPr>
          <w:rFonts w:ascii="Times New Roman" w:hAnsi="Times New Roman" w:cs="Times New Roman"/>
          <w:sz w:val="20"/>
          <w:szCs w:val="20"/>
          <w:lang w:val="hr-HR"/>
        </w:rPr>
        <w:t>Somogyju</w:t>
      </w:r>
      <w:proofErr w:type="spellEnd"/>
      <w:r w:rsidR="00E80295" w:rsidRPr="0086186A">
        <w:rPr>
          <w:rFonts w:ascii="Times New Roman" w:hAnsi="Times New Roman" w:cs="Times New Roman"/>
          <w:sz w:val="20"/>
          <w:szCs w:val="20"/>
          <w:lang w:val="hr-HR"/>
        </w:rPr>
        <w:t xml:space="preserve"> još polovica toga (0,4%). U </w:t>
      </w:r>
      <w:proofErr w:type="spellStart"/>
      <w:r w:rsidR="00E80295" w:rsidRPr="0086186A">
        <w:rPr>
          <w:rFonts w:ascii="Times New Roman" w:hAnsi="Times New Roman" w:cs="Times New Roman"/>
          <w:sz w:val="20"/>
          <w:szCs w:val="20"/>
          <w:lang w:val="hr-HR"/>
        </w:rPr>
        <w:t>Barany</w:t>
      </w:r>
      <w:r w:rsidR="0086186A">
        <w:rPr>
          <w:rFonts w:ascii="Times New Roman" w:hAnsi="Times New Roman" w:cs="Times New Roman"/>
          <w:sz w:val="20"/>
          <w:szCs w:val="20"/>
          <w:lang w:val="hr-HR"/>
        </w:rPr>
        <w:t>j</w:t>
      </w:r>
      <w:r w:rsidR="00E80295" w:rsidRPr="0086186A">
        <w:rPr>
          <w:rFonts w:ascii="Times New Roman" w:hAnsi="Times New Roman" w:cs="Times New Roman"/>
          <w:sz w:val="20"/>
          <w:szCs w:val="20"/>
          <w:lang w:val="hr-HR"/>
        </w:rPr>
        <w:t>i</w:t>
      </w:r>
      <w:proofErr w:type="spellEnd"/>
      <w:r w:rsidR="00E80295" w:rsidRPr="0086186A">
        <w:rPr>
          <w:rFonts w:ascii="Times New Roman" w:hAnsi="Times New Roman" w:cs="Times New Roman"/>
          <w:sz w:val="20"/>
          <w:szCs w:val="20"/>
          <w:lang w:val="hr-HR"/>
        </w:rPr>
        <w:t xml:space="preserve"> su tijekom prošlog desetljeća prevladale </w:t>
      </w:r>
      <w:r w:rsidR="0086186A" w:rsidRPr="0086186A">
        <w:rPr>
          <w:rFonts w:ascii="Times New Roman" w:hAnsi="Times New Roman" w:cs="Times New Roman"/>
          <w:sz w:val="20"/>
          <w:szCs w:val="20"/>
          <w:lang w:val="hr-HR"/>
        </w:rPr>
        <w:t>negativne</w:t>
      </w:r>
      <w:r w:rsidR="00E80295" w:rsidRPr="0086186A">
        <w:rPr>
          <w:rFonts w:ascii="Times New Roman" w:hAnsi="Times New Roman" w:cs="Times New Roman"/>
          <w:sz w:val="20"/>
          <w:szCs w:val="20"/>
          <w:lang w:val="hr-HR"/>
        </w:rPr>
        <w:t xml:space="preserve"> tendencije pa je </w:t>
      </w:r>
      <w:proofErr w:type="spellStart"/>
      <w:r w:rsidR="00E80295" w:rsidRPr="0086186A">
        <w:rPr>
          <w:rFonts w:ascii="Times New Roman" w:hAnsi="Times New Roman" w:cs="Times New Roman"/>
          <w:sz w:val="20"/>
          <w:szCs w:val="20"/>
          <w:lang w:val="hr-HR"/>
        </w:rPr>
        <w:t>Baranya</w:t>
      </w:r>
      <w:proofErr w:type="spellEnd"/>
      <w:r w:rsidR="00E80295" w:rsidRPr="0086186A">
        <w:rPr>
          <w:rFonts w:ascii="Times New Roman" w:hAnsi="Times New Roman" w:cs="Times New Roman"/>
          <w:sz w:val="20"/>
          <w:szCs w:val="20"/>
          <w:lang w:val="hr-HR"/>
        </w:rPr>
        <w:t xml:space="preserve"> izgubila svoju važnost u usporedbi s drugim centrima za istraživanje i razvoj u toj državi.</w:t>
      </w:r>
    </w:p>
    <w:p w14:paraId="6C11FCB9" w14:textId="09192651" w:rsidR="00E80295" w:rsidRPr="0086186A" w:rsidRDefault="00E80295" w:rsidP="00D8786F">
      <w:pPr>
        <w:pStyle w:val="BodyText"/>
        <w:ind w:left="170" w:right="135"/>
        <w:jc w:val="both"/>
        <w:rPr>
          <w:rFonts w:ascii="Times New Roman" w:hAnsi="Times New Roman" w:cs="Times New Roman"/>
          <w:sz w:val="20"/>
          <w:szCs w:val="20"/>
          <w:lang w:val="hr-HR"/>
        </w:rPr>
      </w:pPr>
    </w:p>
    <w:p w14:paraId="24DFB47D" w14:textId="2D9F949B" w:rsidR="00E80295" w:rsidRPr="0086186A" w:rsidRDefault="00E80295"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lastRenderedPageBreak/>
        <w:t xml:space="preserve">Uzimajući u obzir rezultate Regionalnog pokazatelja uspješnosti u inovacijama u 2019., uspješnost u inovacijama u obje je države ispod europskog prosjeka. S obzirom na razdoblje od 2011. do 2019., uspješnost u inovacijama pala je za 5% u </w:t>
      </w:r>
      <w:r w:rsidR="00A0749F" w:rsidRPr="0086186A">
        <w:rPr>
          <w:rFonts w:ascii="Times New Roman" w:hAnsi="Times New Roman" w:cs="Times New Roman"/>
          <w:sz w:val="20"/>
          <w:szCs w:val="20"/>
          <w:lang w:val="hr-HR"/>
        </w:rPr>
        <w:t>z</w:t>
      </w:r>
      <w:r w:rsidRPr="0086186A">
        <w:rPr>
          <w:rFonts w:ascii="Times New Roman" w:hAnsi="Times New Roman" w:cs="Times New Roman"/>
          <w:sz w:val="20"/>
          <w:szCs w:val="20"/>
          <w:lang w:val="hr-HR"/>
        </w:rPr>
        <w:t xml:space="preserve">apadnom </w:t>
      </w:r>
      <w:r w:rsidR="00A0749F" w:rsidRPr="0086186A">
        <w:rPr>
          <w:rFonts w:ascii="Times New Roman" w:hAnsi="Times New Roman" w:cs="Times New Roman"/>
          <w:sz w:val="20"/>
          <w:szCs w:val="20"/>
          <w:lang w:val="hr-HR"/>
        </w:rPr>
        <w:t>P</w:t>
      </w:r>
      <w:r w:rsidRPr="0086186A">
        <w:rPr>
          <w:rFonts w:ascii="Times New Roman" w:hAnsi="Times New Roman" w:cs="Times New Roman"/>
          <w:sz w:val="20"/>
          <w:szCs w:val="20"/>
          <w:lang w:val="hr-HR"/>
        </w:rPr>
        <w:t xml:space="preserve">odunavlju, porasla za 2,8% u </w:t>
      </w:r>
      <w:r w:rsidR="00A0749F" w:rsidRPr="0086186A">
        <w:rPr>
          <w:rFonts w:ascii="Times New Roman" w:hAnsi="Times New Roman" w:cs="Times New Roman"/>
          <w:sz w:val="20"/>
          <w:szCs w:val="20"/>
          <w:lang w:val="hr-HR"/>
        </w:rPr>
        <w:t>j</w:t>
      </w:r>
      <w:r w:rsidRPr="0086186A">
        <w:rPr>
          <w:rFonts w:ascii="Times New Roman" w:hAnsi="Times New Roman" w:cs="Times New Roman"/>
          <w:sz w:val="20"/>
          <w:szCs w:val="20"/>
          <w:lang w:val="hr-HR"/>
        </w:rPr>
        <w:t xml:space="preserve">užnom </w:t>
      </w:r>
      <w:r w:rsidR="00A0749F" w:rsidRPr="0086186A">
        <w:rPr>
          <w:rFonts w:ascii="Times New Roman" w:hAnsi="Times New Roman" w:cs="Times New Roman"/>
          <w:sz w:val="20"/>
          <w:szCs w:val="20"/>
          <w:lang w:val="hr-HR"/>
        </w:rPr>
        <w:t>P</w:t>
      </w:r>
      <w:r w:rsidRPr="0086186A">
        <w:rPr>
          <w:rFonts w:ascii="Times New Roman" w:hAnsi="Times New Roman" w:cs="Times New Roman"/>
          <w:sz w:val="20"/>
          <w:szCs w:val="20"/>
          <w:lang w:val="hr-HR"/>
        </w:rPr>
        <w:t>odunavlju u Mađarskoj i pokazuje blagi rast od 1,7% u kontinentalnom dijelu Hrvatske.</w:t>
      </w:r>
    </w:p>
    <w:p w14:paraId="13ADEE25" w14:textId="1295B5D2" w:rsidR="00E80295" w:rsidRPr="0086186A" w:rsidRDefault="00E80295" w:rsidP="00D8786F">
      <w:pPr>
        <w:pStyle w:val="BodyText"/>
        <w:ind w:left="170" w:right="135"/>
        <w:jc w:val="both"/>
        <w:rPr>
          <w:rFonts w:ascii="Times New Roman" w:hAnsi="Times New Roman" w:cs="Times New Roman"/>
          <w:sz w:val="20"/>
          <w:szCs w:val="20"/>
          <w:lang w:val="hr-HR"/>
        </w:rPr>
      </w:pPr>
    </w:p>
    <w:p w14:paraId="146CEB7E" w14:textId="7B800863" w:rsidR="00E80295" w:rsidRPr="0086186A" w:rsidRDefault="00E80295"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Izdaci poduzeća </w:t>
      </w:r>
      <w:r w:rsidR="00536182" w:rsidRPr="0086186A">
        <w:rPr>
          <w:rFonts w:ascii="Times New Roman" w:hAnsi="Times New Roman" w:cs="Times New Roman"/>
          <w:sz w:val="20"/>
          <w:szCs w:val="20"/>
          <w:lang w:val="hr-HR"/>
        </w:rPr>
        <w:t>za istraživanje i razvoj (</w:t>
      </w:r>
      <w:proofErr w:type="spellStart"/>
      <w:r w:rsidR="00536182" w:rsidRPr="0086186A">
        <w:rPr>
          <w:rFonts w:ascii="Times New Roman" w:hAnsi="Times New Roman" w:cs="Times New Roman"/>
          <w:sz w:val="20"/>
          <w:szCs w:val="20"/>
          <w:lang w:val="hr-HR"/>
        </w:rPr>
        <w:t>BERD</w:t>
      </w:r>
      <w:proofErr w:type="spellEnd"/>
      <w:r w:rsidR="00536182" w:rsidRPr="0086186A">
        <w:rPr>
          <w:rFonts w:ascii="Times New Roman" w:hAnsi="Times New Roman" w:cs="Times New Roman"/>
          <w:sz w:val="20"/>
          <w:szCs w:val="20"/>
          <w:lang w:val="hr-HR"/>
        </w:rPr>
        <w:t xml:space="preserve">) u porastu je i u Mađarskoj i u Hrvatskoj, iako je rezultat Hrvatske daleko ispod europskog prosjeka: </w:t>
      </w:r>
      <w:proofErr w:type="spellStart"/>
      <w:r w:rsidR="00536182" w:rsidRPr="0086186A">
        <w:rPr>
          <w:rFonts w:ascii="Times New Roman" w:hAnsi="Times New Roman" w:cs="Times New Roman"/>
          <w:sz w:val="20"/>
          <w:szCs w:val="20"/>
          <w:lang w:val="hr-HR"/>
        </w:rPr>
        <w:t>BERD</w:t>
      </w:r>
      <w:proofErr w:type="spellEnd"/>
      <w:r w:rsidR="00536182" w:rsidRPr="0086186A">
        <w:rPr>
          <w:rFonts w:ascii="Times New Roman" w:hAnsi="Times New Roman" w:cs="Times New Roman"/>
          <w:sz w:val="20"/>
          <w:szCs w:val="20"/>
          <w:lang w:val="hr-HR"/>
        </w:rPr>
        <w:t xml:space="preserve"> u 2018. za Mađarsku kao postotak BDP-a iznosi 1,16%, dok za Hrvatsku u 2018. iznosi 0,57%. Europski prosjek za </w:t>
      </w:r>
      <w:proofErr w:type="spellStart"/>
      <w:r w:rsidR="00536182" w:rsidRPr="0086186A">
        <w:rPr>
          <w:rFonts w:ascii="Times New Roman" w:hAnsi="Times New Roman" w:cs="Times New Roman"/>
          <w:sz w:val="20"/>
          <w:szCs w:val="20"/>
          <w:lang w:val="hr-HR"/>
        </w:rPr>
        <w:t>BERD</w:t>
      </w:r>
      <w:proofErr w:type="spellEnd"/>
      <w:r w:rsidR="00536182" w:rsidRPr="0086186A">
        <w:rPr>
          <w:rFonts w:ascii="Times New Roman" w:hAnsi="Times New Roman" w:cs="Times New Roman"/>
          <w:sz w:val="20"/>
          <w:szCs w:val="20"/>
          <w:lang w:val="hr-HR"/>
        </w:rPr>
        <w:t xml:space="preserve">/BDP je 1,41%. Što se tiče </w:t>
      </w:r>
      <w:proofErr w:type="spellStart"/>
      <w:r w:rsidR="00536182" w:rsidRPr="0086186A">
        <w:rPr>
          <w:rFonts w:ascii="Times New Roman" w:hAnsi="Times New Roman" w:cs="Times New Roman"/>
          <w:sz w:val="20"/>
          <w:szCs w:val="20"/>
          <w:lang w:val="hr-HR"/>
        </w:rPr>
        <w:t>intramuralnih</w:t>
      </w:r>
      <w:proofErr w:type="spellEnd"/>
      <w:r w:rsidR="00536182" w:rsidRPr="0086186A">
        <w:rPr>
          <w:rFonts w:ascii="Times New Roman" w:hAnsi="Times New Roman" w:cs="Times New Roman"/>
          <w:sz w:val="20"/>
          <w:szCs w:val="20"/>
          <w:lang w:val="hr-HR"/>
        </w:rPr>
        <w:t xml:space="preserve"> izdataka za istraživanje i razvoj (</w:t>
      </w:r>
      <w:proofErr w:type="spellStart"/>
      <w:r w:rsidR="00536182" w:rsidRPr="0086186A">
        <w:rPr>
          <w:rFonts w:ascii="Times New Roman" w:hAnsi="Times New Roman" w:cs="Times New Roman"/>
          <w:sz w:val="20"/>
          <w:szCs w:val="20"/>
          <w:lang w:val="hr-HR"/>
        </w:rPr>
        <w:t>GERD</w:t>
      </w:r>
      <w:proofErr w:type="spellEnd"/>
      <w:r w:rsidR="00536182" w:rsidRPr="0086186A">
        <w:rPr>
          <w:rFonts w:ascii="Times New Roman" w:hAnsi="Times New Roman" w:cs="Times New Roman"/>
          <w:sz w:val="20"/>
          <w:szCs w:val="20"/>
          <w:lang w:val="hr-HR"/>
        </w:rPr>
        <w:t xml:space="preserve">), obje su države ispod europskog prosjeka, no istovremeno prolaze kroz blagi rast. U Mađarskoj </w:t>
      </w:r>
      <w:proofErr w:type="spellStart"/>
      <w:r w:rsidR="00536182" w:rsidRPr="0086186A">
        <w:rPr>
          <w:rFonts w:ascii="Times New Roman" w:hAnsi="Times New Roman" w:cs="Times New Roman"/>
          <w:sz w:val="20"/>
          <w:szCs w:val="20"/>
          <w:lang w:val="hr-HR"/>
        </w:rPr>
        <w:t>GERD</w:t>
      </w:r>
      <w:proofErr w:type="spellEnd"/>
      <w:r w:rsidR="00536182" w:rsidRPr="0086186A">
        <w:rPr>
          <w:rFonts w:ascii="Times New Roman" w:hAnsi="Times New Roman" w:cs="Times New Roman"/>
          <w:sz w:val="20"/>
          <w:szCs w:val="20"/>
          <w:lang w:val="hr-HR"/>
        </w:rPr>
        <w:t xml:space="preserve"> kao postotak BDP-a iznosi 1,53%, a u Hrvatskoj 0,97% prema posljednjim podacima iz 2018. Europski prosjek iznosi 2,11%, što pokazuje da obje države zaostaju za njime.</w:t>
      </w:r>
    </w:p>
    <w:p w14:paraId="79CEB7A5" w14:textId="0A68348C" w:rsidR="00536182" w:rsidRPr="0086186A" w:rsidRDefault="00536182" w:rsidP="00D8786F">
      <w:pPr>
        <w:pStyle w:val="BodyText"/>
        <w:ind w:left="170" w:right="135"/>
        <w:jc w:val="both"/>
        <w:rPr>
          <w:rFonts w:ascii="Times New Roman" w:hAnsi="Times New Roman" w:cs="Times New Roman"/>
          <w:sz w:val="20"/>
          <w:szCs w:val="20"/>
          <w:lang w:val="hr-HR"/>
        </w:rPr>
      </w:pPr>
    </w:p>
    <w:p w14:paraId="5AB49F39" w14:textId="303560E7" w:rsidR="00536182" w:rsidRPr="0086186A" w:rsidRDefault="00536182"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Mađarska je ispod europskog prosjeka i u indeksu integracije digitalnih tehnologija i s obzirom na indeks pokretača digitalne transformacije. Hrvatska je blizu europskog prosjeka u indeksu integracije digitalnih tehnologija, no značajno ispod europskog prosjeka u indeksu pokretača digitalne transformacije. S obzirom na e-trgovinu, Mađarska ima 8. najniži rezultat među državama članicama EU-a. Hrvatska je malo iznad europskog prosjeka. U globalnom indeksu inovacija Mađarska je u 2019. imala 33. mjesto, a Hrvatska 44.</w:t>
      </w:r>
    </w:p>
    <w:p w14:paraId="0AD34DF2" w14:textId="6761F017" w:rsidR="00536182" w:rsidRPr="0086186A" w:rsidRDefault="00536182" w:rsidP="00D8786F">
      <w:pPr>
        <w:pStyle w:val="BodyText"/>
        <w:ind w:left="170" w:right="135"/>
        <w:jc w:val="both"/>
        <w:rPr>
          <w:rFonts w:ascii="Times New Roman" w:hAnsi="Times New Roman" w:cs="Times New Roman"/>
          <w:sz w:val="20"/>
          <w:szCs w:val="20"/>
          <w:lang w:val="hr-HR"/>
        </w:rPr>
      </w:pPr>
    </w:p>
    <w:p w14:paraId="33447E85" w14:textId="707CD626" w:rsidR="00536182" w:rsidRPr="0086186A" w:rsidRDefault="0006653C"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Na mađarskoj su strani aktivnosti istraživanja i razvoja koncentrirane u Pečuhu i u manjoj mjeri u </w:t>
      </w:r>
      <w:proofErr w:type="spellStart"/>
      <w:r w:rsidRPr="0086186A">
        <w:rPr>
          <w:rFonts w:ascii="Times New Roman" w:hAnsi="Times New Roman" w:cs="Times New Roman"/>
          <w:sz w:val="20"/>
          <w:szCs w:val="20"/>
          <w:lang w:val="hr-HR"/>
        </w:rPr>
        <w:t>Zalaegerszegu</w:t>
      </w:r>
      <w:proofErr w:type="spellEnd"/>
      <w:r w:rsidRPr="0086186A">
        <w:rPr>
          <w:rFonts w:ascii="Times New Roman" w:hAnsi="Times New Roman" w:cs="Times New Roman"/>
          <w:sz w:val="20"/>
          <w:szCs w:val="20"/>
          <w:lang w:val="hr-HR"/>
        </w:rPr>
        <w:t xml:space="preserve">, </w:t>
      </w:r>
      <w:proofErr w:type="spellStart"/>
      <w:r w:rsidRPr="0086186A">
        <w:rPr>
          <w:rFonts w:ascii="Times New Roman" w:hAnsi="Times New Roman" w:cs="Times New Roman"/>
          <w:sz w:val="20"/>
          <w:szCs w:val="20"/>
          <w:lang w:val="hr-HR"/>
        </w:rPr>
        <w:t>Keszthelyju</w:t>
      </w:r>
      <w:proofErr w:type="spellEnd"/>
      <w:r w:rsidRPr="0086186A">
        <w:rPr>
          <w:rFonts w:ascii="Times New Roman" w:hAnsi="Times New Roman" w:cs="Times New Roman"/>
          <w:sz w:val="20"/>
          <w:szCs w:val="20"/>
          <w:lang w:val="hr-HR"/>
        </w:rPr>
        <w:t xml:space="preserve">, </w:t>
      </w:r>
      <w:proofErr w:type="spellStart"/>
      <w:r w:rsidRPr="0086186A">
        <w:rPr>
          <w:rFonts w:ascii="Times New Roman" w:hAnsi="Times New Roman" w:cs="Times New Roman"/>
          <w:sz w:val="20"/>
          <w:szCs w:val="20"/>
          <w:lang w:val="hr-HR"/>
        </w:rPr>
        <w:t>Kaposváru</w:t>
      </w:r>
      <w:proofErr w:type="spellEnd"/>
      <w:r w:rsidRPr="0086186A">
        <w:rPr>
          <w:rFonts w:ascii="Times New Roman" w:hAnsi="Times New Roman" w:cs="Times New Roman"/>
          <w:sz w:val="20"/>
          <w:szCs w:val="20"/>
          <w:lang w:val="hr-HR"/>
        </w:rPr>
        <w:t xml:space="preserve"> i </w:t>
      </w:r>
      <w:proofErr w:type="spellStart"/>
      <w:r w:rsidRPr="0086186A">
        <w:rPr>
          <w:rFonts w:ascii="Times New Roman" w:hAnsi="Times New Roman" w:cs="Times New Roman"/>
          <w:sz w:val="20"/>
          <w:szCs w:val="20"/>
          <w:lang w:val="hr-HR"/>
        </w:rPr>
        <w:t>Nagykanizsi</w:t>
      </w:r>
      <w:proofErr w:type="spellEnd"/>
      <w:r w:rsidRPr="0086186A">
        <w:rPr>
          <w:rFonts w:ascii="Times New Roman" w:hAnsi="Times New Roman" w:cs="Times New Roman"/>
          <w:sz w:val="20"/>
          <w:szCs w:val="20"/>
          <w:lang w:val="hr-HR"/>
        </w:rPr>
        <w:t xml:space="preserve">. Sveučilište u Pečuhu jedno je od najvećih sveučilišta u državi izvan Budimpešte. Zbog toga je broj akademski obrazovanih ljudi u </w:t>
      </w:r>
      <w:proofErr w:type="spellStart"/>
      <w:r w:rsidRPr="0086186A">
        <w:rPr>
          <w:rFonts w:ascii="Times New Roman" w:hAnsi="Times New Roman" w:cs="Times New Roman"/>
          <w:sz w:val="20"/>
          <w:szCs w:val="20"/>
          <w:lang w:val="hr-HR"/>
        </w:rPr>
        <w:t>Baranyji</w:t>
      </w:r>
      <w:proofErr w:type="spellEnd"/>
      <w:r w:rsidRPr="0086186A">
        <w:rPr>
          <w:rFonts w:ascii="Times New Roman" w:hAnsi="Times New Roman" w:cs="Times New Roman"/>
          <w:sz w:val="20"/>
          <w:szCs w:val="20"/>
          <w:lang w:val="hr-HR"/>
        </w:rPr>
        <w:t xml:space="preserve"> deset puta viši nego u </w:t>
      </w:r>
      <w:proofErr w:type="spellStart"/>
      <w:r w:rsidRPr="0086186A">
        <w:rPr>
          <w:rFonts w:ascii="Times New Roman" w:hAnsi="Times New Roman" w:cs="Times New Roman"/>
          <w:sz w:val="20"/>
          <w:szCs w:val="20"/>
          <w:lang w:val="hr-HR"/>
        </w:rPr>
        <w:t>Somogyju</w:t>
      </w:r>
      <w:proofErr w:type="spellEnd"/>
      <w:r w:rsidRPr="0086186A">
        <w:rPr>
          <w:rFonts w:ascii="Times New Roman" w:hAnsi="Times New Roman" w:cs="Times New Roman"/>
          <w:sz w:val="20"/>
          <w:szCs w:val="20"/>
          <w:lang w:val="hr-HR"/>
        </w:rPr>
        <w:t xml:space="preserve"> i Zali. Sveučilišne istraživačke skupine radne na različitim znanstvenim domenama. Kampusi Mađarskog sveučilišta poljoprivrede i bioloških znanosti u </w:t>
      </w:r>
      <w:proofErr w:type="spellStart"/>
      <w:r w:rsidRPr="0086186A">
        <w:rPr>
          <w:rFonts w:ascii="Times New Roman" w:hAnsi="Times New Roman" w:cs="Times New Roman"/>
          <w:sz w:val="20"/>
          <w:szCs w:val="20"/>
          <w:lang w:val="hr-HR"/>
        </w:rPr>
        <w:t>Kaposváru</w:t>
      </w:r>
      <w:proofErr w:type="spellEnd"/>
      <w:r w:rsidRPr="0086186A">
        <w:rPr>
          <w:rFonts w:ascii="Times New Roman" w:hAnsi="Times New Roman" w:cs="Times New Roman"/>
          <w:sz w:val="20"/>
          <w:szCs w:val="20"/>
          <w:lang w:val="hr-HR"/>
        </w:rPr>
        <w:t xml:space="preserve"> i </w:t>
      </w:r>
      <w:proofErr w:type="spellStart"/>
      <w:r w:rsidRPr="0086186A">
        <w:rPr>
          <w:rFonts w:ascii="Times New Roman" w:hAnsi="Times New Roman" w:cs="Times New Roman"/>
          <w:sz w:val="20"/>
          <w:szCs w:val="20"/>
          <w:lang w:val="hr-HR"/>
        </w:rPr>
        <w:t>Keszthelyju</w:t>
      </w:r>
      <w:proofErr w:type="spellEnd"/>
      <w:r w:rsidRPr="0086186A">
        <w:rPr>
          <w:rFonts w:ascii="Times New Roman" w:hAnsi="Times New Roman" w:cs="Times New Roman"/>
          <w:sz w:val="20"/>
          <w:szCs w:val="20"/>
          <w:lang w:val="hr-HR"/>
        </w:rPr>
        <w:t xml:space="preserve"> omogućuju potencijal istraživanja, razvoja i inovacija u području poljoprivrede. Panonsko sveučilište ima i kampus u </w:t>
      </w:r>
      <w:proofErr w:type="spellStart"/>
      <w:r w:rsidRPr="0086186A">
        <w:rPr>
          <w:rFonts w:ascii="Times New Roman" w:hAnsi="Times New Roman" w:cs="Times New Roman"/>
          <w:sz w:val="20"/>
          <w:szCs w:val="20"/>
          <w:lang w:val="hr-HR"/>
        </w:rPr>
        <w:t>Nagykanizsi</w:t>
      </w:r>
      <w:proofErr w:type="spellEnd"/>
      <w:r w:rsidRPr="0086186A">
        <w:rPr>
          <w:rFonts w:ascii="Times New Roman" w:hAnsi="Times New Roman" w:cs="Times New Roman"/>
          <w:sz w:val="20"/>
          <w:szCs w:val="20"/>
          <w:lang w:val="hr-HR"/>
        </w:rPr>
        <w:t xml:space="preserve">. Na hrvatskoj je strani najsnažniji sveučilišni centar s istraživačkim potencijalom Sveučilište Josipa Jurja Strossmayera s različitim fakultetima. Drugo značajno hrvatsko sveučilište u pograničnom području jest Sveučilište sjever u Varaždinu i Koprivnici, posebno s fokusom na inženjerstvo. Unatoč prisutnosti viših obrazovnih ustanova, prema dostupnoj rang-listi </w:t>
      </w:r>
      <w:proofErr w:type="spellStart"/>
      <w:r w:rsidRPr="0086186A">
        <w:rPr>
          <w:rFonts w:ascii="Times New Roman" w:hAnsi="Times New Roman" w:cs="Times New Roman"/>
          <w:sz w:val="20"/>
          <w:szCs w:val="20"/>
          <w:lang w:val="hr-HR"/>
        </w:rPr>
        <w:t>QS</w:t>
      </w:r>
      <w:proofErr w:type="spellEnd"/>
      <w:r w:rsidRPr="0086186A">
        <w:rPr>
          <w:rFonts w:ascii="Times New Roman" w:hAnsi="Times New Roman" w:cs="Times New Roman"/>
          <w:sz w:val="20"/>
          <w:szCs w:val="20"/>
          <w:lang w:val="hr-HR"/>
        </w:rPr>
        <w:t>-a na topuniversities.com, programskom području nedostaju sveučilišta i istraživački centri koji bi bili međunarodno relevantni ili koji bi bili ocijenjeni na navedenome mrežnome mjestu.</w:t>
      </w:r>
    </w:p>
    <w:p w14:paraId="003062AD" w14:textId="5B46257E" w:rsidR="0006653C" w:rsidRPr="0086186A" w:rsidRDefault="0006653C" w:rsidP="00D8786F">
      <w:pPr>
        <w:pStyle w:val="BodyText"/>
        <w:ind w:left="170" w:right="135"/>
        <w:jc w:val="both"/>
        <w:rPr>
          <w:rFonts w:ascii="Times New Roman" w:hAnsi="Times New Roman" w:cs="Times New Roman"/>
          <w:sz w:val="20"/>
          <w:szCs w:val="20"/>
          <w:lang w:val="hr-HR"/>
        </w:rPr>
      </w:pPr>
    </w:p>
    <w:p w14:paraId="2D1937C8" w14:textId="0CCF0A4F" w:rsidR="0006653C" w:rsidRPr="0086186A" w:rsidRDefault="0006653C"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Gospodarski razvoj i regionalni operativni programi u programskom razdoblju 2007. – 2013. </w:t>
      </w:r>
      <w:r w:rsidR="000919A1" w:rsidRPr="0086186A">
        <w:rPr>
          <w:rFonts w:ascii="Times New Roman" w:hAnsi="Times New Roman" w:cs="Times New Roman"/>
          <w:sz w:val="20"/>
          <w:szCs w:val="20"/>
          <w:lang w:val="hr-HR"/>
        </w:rPr>
        <w:t xml:space="preserve">podržavaju razvoj klaster organizacija u Mađarskoj. Trenutačno u Mađarskoj postoji 25 akreditiranih klastera, od kojih mnogi djeluju i u programskom području. Ispitno područje </w:t>
      </w:r>
      <w:proofErr w:type="spellStart"/>
      <w:r w:rsidR="000919A1" w:rsidRPr="0086186A">
        <w:rPr>
          <w:rFonts w:ascii="Times New Roman" w:hAnsi="Times New Roman" w:cs="Times New Roman"/>
          <w:sz w:val="20"/>
          <w:szCs w:val="20"/>
          <w:lang w:val="hr-HR"/>
        </w:rPr>
        <w:t>ZalaZone</w:t>
      </w:r>
      <w:proofErr w:type="spellEnd"/>
      <w:r w:rsidR="000919A1" w:rsidRPr="0086186A">
        <w:rPr>
          <w:rFonts w:ascii="Times New Roman" w:hAnsi="Times New Roman" w:cs="Times New Roman"/>
          <w:sz w:val="20"/>
          <w:szCs w:val="20"/>
          <w:lang w:val="hr-HR"/>
        </w:rPr>
        <w:t xml:space="preserve"> blizu </w:t>
      </w:r>
      <w:proofErr w:type="spellStart"/>
      <w:r w:rsidR="000919A1" w:rsidRPr="0086186A">
        <w:rPr>
          <w:rFonts w:ascii="Times New Roman" w:hAnsi="Times New Roman" w:cs="Times New Roman"/>
          <w:sz w:val="20"/>
          <w:szCs w:val="20"/>
          <w:lang w:val="hr-HR"/>
        </w:rPr>
        <w:t>Zalaegerszega</w:t>
      </w:r>
      <w:proofErr w:type="spellEnd"/>
      <w:r w:rsidR="000919A1" w:rsidRPr="0086186A">
        <w:rPr>
          <w:rFonts w:ascii="Times New Roman" w:hAnsi="Times New Roman" w:cs="Times New Roman"/>
          <w:sz w:val="20"/>
          <w:szCs w:val="20"/>
          <w:lang w:val="hr-HR"/>
        </w:rPr>
        <w:t xml:space="preserve"> nudi izvrsnu mogućnost da bude gospodarski pokretač za automobilsku industriju. S obzirom na poslovnu infrastrukturu koja se razvija pomoću europskih fondova, Varaždin ima dva </w:t>
      </w:r>
      <w:r w:rsidR="007C5594" w:rsidRPr="0086186A">
        <w:rPr>
          <w:rFonts w:ascii="Times New Roman" w:hAnsi="Times New Roman" w:cs="Times New Roman"/>
          <w:sz w:val="20"/>
          <w:szCs w:val="20"/>
          <w:lang w:val="hr-HR"/>
        </w:rPr>
        <w:t>tehnološka</w:t>
      </w:r>
      <w:r w:rsidR="000919A1" w:rsidRPr="0086186A">
        <w:rPr>
          <w:rFonts w:ascii="Times New Roman" w:hAnsi="Times New Roman" w:cs="Times New Roman"/>
          <w:sz w:val="20"/>
          <w:szCs w:val="20"/>
          <w:lang w:val="hr-HR"/>
        </w:rPr>
        <w:t xml:space="preserve"> parka i dvije ustanove višeg obrazovanja. Međimurska županija ima Tehnološki i inovacijski centar Međimurje, čiji je fokus primarno na informacijske i komunikacijske tehnologije i koji blisko surađuje s fakultetom u Varaždinu (uz suradnju s Međimurskim veleučilištem).</w:t>
      </w:r>
      <w:r w:rsidR="000919A1" w:rsidRPr="0086186A">
        <w:rPr>
          <w:lang w:val="hr-HR"/>
        </w:rPr>
        <w:t xml:space="preserve"> </w:t>
      </w:r>
      <w:r w:rsidR="000919A1" w:rsidRPr="0086186A">
        <w:rPr>
          <w:rFonts w:ascii="Times New Roman" w:hAnsi="Times New Roman" w:cs="Times New Roman"/>
          <w:sz w:val="20"/>
          <w:szCs w:val="20"/>
          <w:lang w:val="hr-HR"/>
        </w:rPr>
        <w:t>Belišće, Bjelovar, Donji Miholjac, Đurđevac, Koprivnica, Osijek, Vinkovci, Virovitica i Vukovar imaju tehnološke i poslovne inkubatore. Nedavno je razvijeno još tehnoloških parkova: Tehnološko-inovacijski centar u Koprivnici, tehnološki park u Križevcima i Tehnološki i inovacijski centar u Virovitici.</w:t>
      </w:r>
    </w:p>
    <w:p w14:paraId="519C9C8D" w14:textId="002EAB56" w:rsidR="000919A1" w:rsidRPr="0086186A" w:rsidRDefault="000919A1" w:rsidP="00D8786F">
      <w:pPr>
        <w:pStyle w:val="BodyText"/>
        <w:ind w:left="170" w:right="135"/>
        <w:jc w:val="both"/>
        <w:rPr>
          <w:rFonts w:ascii="Times New Roman" w:hAnsi="Times New Roman" w:cs="Times New Roman"/>
          <w:sz w:val="20"/>
          <w:szCs w:val="20"/>
          <w:lang w:val="hr-HR"/>
        </w:rPr>
      </w:pPr>
    </w:p>
    <w:p w14:paraId="196FBB1E" w14:textId="0764842D" w:rsidR="000919A1" w:rsidRPr="0086186A" w:rsidRDefault="000919A1"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U većini županijskih razvojnih strategija predmetnih hrvatskih županija priznaje se nedovoljna orijentacija regionalnih poduzeća prema istraživanju i razvoju kao razvojna slabost te se planiraju mjere koje bi trebale poboljšati situaciju. U Hrvatskoj je </w:t>
      </w:r>
      <w:r w:rsidR="007C5594" w:rsidRPr="0086186A">
        <w:rPr>
          <w:rFonts w:ascii="Times New Roman" w:hAnsi="Times New Roman" w:cs="Times New Roman"/>
          <w:sz w:val="20"/>
          <w:szCs w:val="20"/>
          <w:lang w:val="hr-HR"/>
        </w:rPr>
        <w:t>razvijen</w:t>
      </w:r>
      <w:r w:rsidRPr="0086186A">
        <w:rPr>
          <w:rFonts w:ascii="Times New Roman" w:hAnsi="Times New Roman" w:cs="Times New Roman"/>
          <w:sz w:val="20"/>
          <w:szCs w:val="20"/>
          <w:lang w:val="hr-HR"/>
        </w:rPr>
        <w:t xml:space="preserve"> skup klastera konkurentnosti. Pogranično područje </w:t>
      </w:r>
      <w:r w:rsidR="00B319EA" w:rsidRPr="0086186A">
        <w:rPr>
          <w:rFonts w:ascii="Times New Roman" w:hAnsi="Times New Roman" w:cs="Times New Roman"/>
          <w:sz w:val="20"/>
          <w:szCs w:val="20"/>
          <w:lang w:val="hr-HR"/>
        </w:rPr>
        <w:t xml:space="preserve">svojom tehnologijom i znanošću relativno malo doprinosi regionalnom gospodarstvu, što samo po sebi zahtijeva unapređenje uvjeta kako bise podigla razina bliže europskim standardima na </w:t>
      </w:r>
      <w:r w:rsidR="007C5594" w:rsidRPr="0086186A">
        <w:rPr>
          <w:rFonts w:ascii="Times New Roman" w:hAnsi="Times New Roman" w:cs="Times New Roman"/>
          <w:sz w:val="20"/>
          <w:szCs w:val="20"/>
          <w:lang w:val="hr-HR"/>
        </w:rPr>
        <w:t>nacionalnoj</w:t>
      </w:r>
      <w:r w:rsidR="00B319EA" w:rsidRPr="0086186A">
        <w:rPr>
          <w:rFonts w:ascii="Times New Roman" w:hAnsi="Times New Roman" w:cs="Times New Roman"/>
          <w:sz w:val="20"/>
          <w:szCs w:val="20"/>
          <w:lang w:val="hr-HR"/>
        </w:rPr>
        <w:t xml:space="preserve"> i regionalnoj razini. Prepreke u ovom području pojavljuju se zbog manjka poslovnih i poduzetničkih vještina, niske aktivnosti istraživanja i razvoja, manjka stručnjaka i zajednica, slabe dostupnosti tehnologija ili ograničenog pristupa financiranju.</w:t>
      </w:r>
    </w:p>
    <w:p w14:paraId="4EF27F4C" w14:textId="480A62D9" w:rsidR="00B319EA" w:rsidRPr="0086186A" w:rsidRDefault="00B319EA" w:rsidP="00D8786F">
      <w:pPr>
        <w:pStyle w:val="BodyText"/>
        <w:ind w:left="170" w:right="135"/>
        <w:jc w:val="both"/>
        <w:rPr>
          <w:rFonts w:ascii="Times New Roman" w:hAnsi="Times New Roman" w:cs="Times New Roman"/>
          <w:sz w:val="20"/>
          <w:szCs w:val="20"/>
          <w:lang w:val="hr-HR"/>
        </w:rPr>
      </w:pPr>
    </w:p>
    <w:p w14:paraId="58E476B1" w14:textId="60235AD4" w:rsidR="00B319EA" w:rsidRPr="0086186A" w:rsidRDefault="00B319EA"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Poduzetnička gustoća viša je na mađarskoj strani, no nijedna od županija ne doseže nacionalni prosjek. Najviši broj djelatnih poduzeća može se pronaći u </w:t>
      </w:r>
      <w:proofErr w:type="spellStart"/>
      <w:r w:rsidRPr="0086186A">
        <w:rPr>
          <w:rFonts w:ascii="Times New Roman" w:hAnsi="Times New Roman" w:cs="Times New Roman"/>
          <w:sz w:val="20"/>
          <w:szCs w:val="20"/>
          <w:lang w:val="hr-HR"/>
        </w:rPr>
        <w:t>Baranyji</w:t>
      </w:r>
      <w:proofErr w:type="spellEnd"/>
      <w:r w:rsidRPr="0086186A">
        <w:rPr>
          <w:rFonts w:ascii="Times New Roman" w:hAnsi="Times New Roman" w:cs="Times New Roman"/>
          <w:sz w:val="20"/>
          <w:szCs w:val="20"/>
          <w:lang w:val="hr-HR"/>
        </w:rPr>
        <w:t xml:space="preserve">, a najniži u </w:t>
      </w:r>
      <w:proofErr w:type="spellStart"/>
      <w:r w:rsidRPr="0086186A">
        <w:rPr>
          <w:rFonts w:ascii="Times New Roman" w:hAnsi="Times New Roman" w:cs="Times New Roman"/>
          <w:sz w:val="20"/>
          <w:szCs w:val="20"/>
          <w:lang w:val="hr-HR"/>
        </w:rPr>
        <w:t>Somogyju</w:t>
      </w:r>
      <w:proofErr w:type="spellEnd"/>
      <w:r w:rsidRPr="0086186A">
        <w:rPr>
          <w:rFonts w:ascii="Times New Roman" w:hAnsi="Times New Roman" w:cs="Times New Roman"/>
          <w:sz w:val="20"/>
          <w:szCs w:val="20"/>
          <w:lang w:val="hr-HR"/>
        </w:rPr>
        <w:t>. Hrvatski dio programskog područja daje razmjerno slabu sliku s obzirom na gustoću poduzeća u usporedbi s mađarskim i hrvatskim nacionalnim prosjecima. S obzirom na gustoću aktivnih poduzeća jasno se izdvajaju Međimurska županija i Varaždinska županija. Poslovna aktivnost premašuje prosjek programskog područja u Bjelovarsko-bilogorskoj županiji i Osječko-baranjskoj županiji. Na pogranično područje na obje strane nema velikih poduzeća.</w:t>
      </w:r>
    </w:p>
    <w:p w14:paraId="476061B7" w14:textId="57917622" w:rsidR="00B319EA" w:rsidRPr="0086186A" w:rsidRDefault="00B319EA" w:rsidP="00D8786F">
      <w:pPr>
        <w:pStyle w:val="BodyText"/>
        <w:ind w:left="170" w:right="135"/>
        <w:jc w:val="both"/>
        <w:rPr>
          <w:rFonts w:ascii="Times New Roman" w:hAnsi="Times New Roman" w:cs="Times New Roman"/>
          <w:sz w:val="20"/>
          <w:szCs w:val="20"/>
          <w:lang w:val="hr-HR"/>
        </w:rPr>
      </w:pPr>
    </w:p>
    <w:p w14:paraId="026DC93A" w14:textId="4197A152" w:rsidR="00B319EA" w:rsidRPr="0086186A" w:rsidRDefault="00B319EA"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Na rang-listi indeksa globalne konkurentnosti u 2019. Hrvatska je 63., što je pomak za pet razina u odnosu na </w:t>
      </w:r>
      <w:r w:rsidRPr="0086186A">
        <w:rPr>
          <w:rFonts w:ascii="Times New Roman" w:hAnsi="Times New Roman" w:cs="Times New Roman"/>
          <w:sz w:val="20"/>
          <w:szCs w:val="20"/>
          <w:lang w:val="hr-HR"/>
        </w:rPr>
        <w:lastRenderedPageBreak/>
        <w:t xml:space="preserve">prethodnu godinu, dok je Mađarska 47., što je pad u odnosu na 2018. Obje su na dnu indeksa u usporedbi s ostalim </w:t>
      </w:r>
      <w:r w:rsidR="007C5594" w:rsidRPr="0086186A">
        <w:rPr>
          <w:rFonts w:ascii="Times New Roman" w:hAnsi="Times New Roman" w:cs="Times New Roman"/>
          <w:sz w:val="20"/>
          <w:szCs w:val="20"/>
          <w:lang w:val="hr-HR"/>
        </w:rPr>
        <w:t>državama</w:t>
      </w:r>
      <w:r w:rsidRPr="0086186A">
        <w:rPr>
          <w:rFonts w:ascii="Times New Roman" w:hAnsi="Times New Roman" w:cs="Times New Roman"/>
          <w:sz w:val="20"/>
          <w:szCs w:val="20"/>
          <w:lang w:val="hr-HR"/>
        </w:rPr>
        <w:t xml:space="preserve"> članicama EU-a.</w:t>
      </w:r>
      <w:r w:rsidR="00382FF3" w:rsidRPr="0086186A">
        <w:rPr>
          <w:rFonts w:ascii="Times New Roman" w:hAnsi="Times New Roman" w:cs="Times New Roman"/>
          <w:sz w:val="20"/>
          <w:szCs w:val="20"/>
          <w:lang w:val="hr-HR"/>
        </w:rPr>
        <w:t xml:space="preserve"> Iskustvo politike kohezije u Mađarskoj pokazuje da su sredstva centraliziranih operativnih programa za inovacije te razvoj malog i srednjeg poduzetništva manje dostupna u programskom području.</w:t>
      </w:r>
    </w:p>
    <w:p w14:paraId="313A86F7" w14:textId="2D587B29" w:rsidR="00382FF3" w:rsidRPr="0086186A" w:rsidRDefault="00382FF3" w:rsidP="00D8786F">
      <w:pPr>
        <w:pStyle w:val="BodyText"/>
        <w:ind w:left="170" w:right="135"/>
        <w:jc w:val="both"/>
        <w:rPr>
          <w:rFonts w:ascii="Times New Roman" w:hAnsi="Times New Roman" w:cs="Times New Roman"/>
          <w:sz w:val="20"/>
          <w:szCs w:val="20"/>
          <w:lang w:val="hr-HR"/>
        </w:rPr>
      </w:pPr>
    </w:p>
    <w:p w14:paraId="3679AE09" w14:textId="79267531" w:rsidR="00382FF3" w:rsidRPr="0086186A" w:rsidRDefault="00382FF3"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Između hrvatskih i mađarskih trgovačkih društava u pograničnom području niska je razina poslovne suradnje. Uvoz i izvoz između dvije države prilično je nizak s obzirom na poslovne prilike, a ukupna vrijednost izvoza i uvoza prerađenih dobara ostaje ispod 1 milijarde eura godišnje. Iako je Mađarska među prvih deset država za Hrvatsku s obzirom na međunarodnu trgovinu, Hrvatska je tek 17. najvažnija izvozna država za Mađarsku. Pogranično područje ne igra značajnu ulogu u međunarodnoj trgovini između dvije države, koja je koncentrirana uglavnom u glavnim gradovima i na jadranskoj obali.</w:t>
      </w:r>
    </w:p>
    <w:p w14:paraId="536ACFF0" w14:textId="43B7FCD5" w:rsidR="00382FF3" w:rsidRPr="0086186A" w:rsidRDefault="00382FF3" w:rsidP="00D8786F">
      <w:pPr>
        <w:pStyle w:val="BodyText"/>
        <w:ind w:left="170" w:right="135"/>
        <w:jc w:val="both"/>
        <w:rPr>
          <w:rFonts w:ascii="Times New Roman" w:hAnsi="Times New Roman" w:cs="Times New Roman"/>
          <w:sz w:val="20"/>
          <w:szCs w:val="20"/>
          <w:lang w:val="hr-HR"/>
        </w:rPr>
      </w:pPr>
    </w:p>
    <w:p w14:paraId="046B5EA2" w14:textId="308F5FF7" w:rsidR="00382FF3" w:rsidRPr="0086186A" w:rsidRDefault="00EB2DE5"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Važniju ulogu na tom području igra poljoprivreda. S obzirom na bruto dodanu vrijednost, osim Međimurske županije, sve su županije iznad nacionalnih prosjeka. Trend se na hrvatskoj strani općenito smanjuje u odnosu na 2007. dok na mađarskoj strani uloga poljoprivrede, šumarstva i ribarstva postojano raste od 2007. Glavna su </w:t>
      </w:r>
      <w:r w:rsidR="0086186A" w:rsidRPr="0086186A">
        <w:rPr>
          <w:rFonts w:ascii="Times New Roman" w:hAnsi="Times New Roman" w:cs="Times New Roman"/>
          <w:sz w:val="20"/>
          <w:szCs w:val="20"/>
          <w:lang w:val="hr-HR"/>
        </w:rPr>
        <w:t>poljoprivredna</w:t>
      </w:r>
      <w:r w:rsidRPr="0086186A">
        <w:rPr>
          <w:rFonts w:ascii="Times New Roman" w:hAnsi="Times New Roman" w:cs="Times New Roman"/>
          <w:sz w:val="20"/>
          <w:szCs w:val="20"/>
          <w:lang w:val="hr-HR"/>
        </w:rPr>
        <w:t xml:space="preserve"> područja izvrsna kakvoća zemljišta i tla uz rijeke Dunav i Dravu. Zaposlenost u primarnom sektoru očitija je na Hrvatskoj strani (16,59%, a u Mađarskoj 7,54%), no sa snažnim negativnim trendom od 2007. Pad zaposlenosti u primarnom sektoru posebno je izražen u slavonskim županijama, gdje je poljoprivreda tradicionalno bila ključni sektor. Udio poljoprivrednih poduzeća iznad je prosjeka među aktivnim poduzećima. Najviši je udio u </w:t>
      </w:r>
      <w:proofErr w:type="spellStart"/>
      <w:r w:rsidRPr="0086186A">
        <w:rPr>
          <w:rFonts w:ascii="Times New Roman" w:hAnsi="Times New Roman" w:cs="Times New Roman"/>
          <w:sz w:val="20"/>
          <w:szCs w:val="20"/>
          <w:lang w:val="hr-HR"/>
        </w:rPr>
        <w:t>Somogyju</w:t>
      </w:r>
      <w:proofErr w:type="spellEnd"/>
      <w:r w:rsidRPr="0086186A">
        <w:rPr>
          <w:rFonts w:ascii="Times New Roman" w:hAnsi="Times New Roman" w:cs="Times New Roman"/>
          <w:sz w:val="20"/>
          <w:szCs w:val="20"/>
          <w:lang w:val="hr-HR"/>
        </w:rPr>
        <w:t>, a slijedi ga Virovitičko-podravska županija na hrvatskoj strani.</w:t>
      </w:r>
      <w:r w:rsidR="00906EFD" w:rsidRPr="0086186A">
        <w:rPr>
          <w:rFonts w:ascii="Times New Roman" w:hAnsi="Times New Roman" w:cs="Times New Roman"/>
          <w:sz w:val="20"/>
          <w:szCs w:val="20"/>
          <w:lang w:val="hr-HR"/>
        </w:rPr>
        <w:t xml:space="preserve"> Udio oranica u uporabi zemljišta općenito je viši na mađarskoj strani, no na hrvatskoj strani viši je udio šuma. Zala i </w:t>
      </w:r>
      <w:proofErr w:type="spellStart"/>
      <w:r w:rsidR="00906EFD" w:rsidRPr="0086186A">
        <w:rPr>
          <w:rFonts w:ascii="Times New Roman" w:hAnsi="Times New Roman" w:cs="Times New Roman"/>
          <w:sz w:val="20"/>
          <w:szCs w:val="20"/>
          <w:lang w:val="hr-HR"/>
        </w:rPr>
        <w:t>Somogy</w:t>
      </w:r>
      <w:proofErr w:type="spellEnd"/>
      <w:r w:rsidR="00906EFD" w:rsidRPr="0086186A">
        <w:rPr>
          <w:rFonts w:ascii="Times New Roman" w:hAnsi="Times New Roman" w:cs="Times New Roman"/>
          <w:sz w:val="20"/>
          <w:szCs w:val="20"/>
          <w:lang w:val="hr-HR"/>
        </w:rPr>
        <w:t xml:space="preserve"> dvije su najpošumljenije županije u Mađarskoj, no u </w:t>
      </w:r>
      <w:proofErr w:type="spellStart"/>
      <w:r w:rsidR="00906EFD" w:rsidRPr="0086186A">
        <w:rPr>
          <w:rFonts w:ascii="Times New Roman" w:hAnsi="Times New Roman" w:cs="Times New Roman"/>
          <w:sz w:val="20"/>
          <w:szCs w:val="20"/>
          <w:lang w:val="hr-HR"/>
        </w:rPr>
        <w:t>Baranyji</w:t>
      </w:r>
      <w:proofErr w:type="spellEnd"/>
      <w:r w:rsidR="00906EFD" w:rsidRPr="0086186A">
        <w:rPr>
          <w:rFonts w:ascii="Times New Roman" w:hAnsi="Times New Roman" w:cs="Times New Roman"/>
          <w:sz w:val="20"/>
          <w:szCs w:val="20"/>
          <w:lang w:val="hr-HR"/>
        </w:rPr>
        <w:t xml:space="preserve"> i na hrvatskoj strani ima </w:t>
      </w:r>
      <w:r w:rsidR="00D0347E" w:rsidRPr="0086186A">
        <w:rPr>
          <w:rFonts w:ascii="Times New Roman" w:hAnsi="Times New Roman" w:cs="Times New Roman"/>
          <w:sz w:val="20"/>
          <w:szCs w:val="20"/>
          <w:lang w:val="hr-HR"/>
        </w:rPr>
        <w:t>proširenih šuma.</w:t>
      </w:r>
    </w:p>
    <w:p w14:paraId="0E61BEC5" w14:textId="56E03A19" w:rsidR="00D0347E" w:rsidRPr="0086186A" w:rsidRDefault="00D0347E" w:rsidP="00D8786F">
      <w:pPr>
        <w:pStyle w:val="BodyText"/>
        <w:ind w:left="170" w:right="135"/>
        <w:jc w:val="both"/>
        <w:rPr>
          <w:rFonts w:ascii="Times New Roman" w:hAnsi="Times New Roman" w:cs="Times New Roman"/>
          <w:sz w:val="20"/>
          <w:szCs w:val="20"/>
          <w:lang w:val="hr-HR"/>
        </w:rPr>
      </w:pPr>
    </w:p>
    <w:p w14:paraId="7321A333" w14:textId="486809D4" w:rsidR="00D0347E" w:rsidRPr="0086186A" w:rsidRDefault="00D0347E"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Neki dijelovi hrvatskog programskog područja još su uvijek minirani, uglavnom u Osječko-baranjskoj županiji, no od mina su već očišćeni značajni dijelovi, između ostalog financiranjem prekogranične suradnje.</w:t>
      </w:r>
    </w:p>
    <w:p w14:paraId="5A4DE8A6" w14:textId="79E311F3" w:rsidR="00D0347E" w:rsidRPr="0086186A" w:rsidRDefault="00D0347E" w:rsidP="00D8786F">
      <w:pPr>
        <w:pStyle w:val="BodyText"/>
        <w:ind w:left="170" w:right="135"/>
        <w:jc w:val="both"/>
        <w:rPr>
          <w:rFonts w:ascii="Times New Roman" w:hAnsi="Times New Roman" w:cs="Times New Roman"/>
          <w:sz w:val="20"/>
          <w:szCs w:val="20"/>
          <w:lang w:val="hr-HR"/>
        </w:rPr>
      </w:pPr>
    </w:p>
    <w:p w14:paraId="17349BD4" w14:textId="06F171AB" w:rsidR="00D0347E" w:rsidRPr="0086186A" w:rsidRDefault="00675D07"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Zajednička vrijednost područja jest visoka razina vinogradarstva i proizvodnje vina. Na mađarskoj su strani smještene dvije vinske regije s četirima </w:t>
      </w:r>
      <w:proofErr w:type="spellStart"/>
      <w:r w:rsidRPr="0086186A">
        <w:rPr>
          <w:rFonts w:ascii="Times New Roman" w:hAnsi="Times New Roman" w:cs="Times New Roman"/>
          <w:sz w:val="20"/>
          <w:szCs w:val="20"/>
          <w:lang w:val="hr-HR"/>
        </w:rPr>
        <w:t>podregijama</w:t>
      </w:r>
      <w:proofErr w:type="spellEnd"/>
      <w:r w:rsidRPr="0086186A">
        <w:rPr>
          <w:rFonts w:ascii="Times New Roman" w:hAnsi="Times New Roman" w:cs="Times New Roman"/>
          <w:sz w:val="20"/>
          <w:szCs w:val="20"/>
          <w:lang w:val="hr-HR"/>
        </w:rPr>
        <w:t xml:space="preserve">, a unutar pograničnog područja protežu se tri vinske ceste, uključujući Vinsku cestu </w:t>
      </w:r>
      <w:proofErr w:type="spellStart"/>
      <w:r w:rsidRPr="0086186A">
        <w:rPr>
          <w:rFonts w:ascii="Times New Roman" w:hAnsi="Times New Roman" w:cs="Times New Roman"/>
          <w:sz w:val="20"/>
          <w:szCs w:val="20"/>
          <w:lang w:val="hr-HR"/>
        </w:rPr>
        <w:t>Villány-Siklós</w:t>
      </w:r>
      <w:proofErr w:type="spellEnd"/>
      <w:r w:rsidRPr="0086186A">
        <w:rPr>
          <w:rFonts w:ascii="Times New Roman" w:hAnsi="Times New Roman" w:cs="Times New Roman"/>
          <w:sz w:val="20"/>
          <w:szCs w:val="20"/>
          <w:lang w:val="hr-HR"/>
        </w:rPr>
        <w:t>. U hrvatskom dijelu pet vinogradarskih područja proizvodi visokokvalitetna vina, a tu su i brojne vinske ceste.</w:t>
      </w:r>
    </w:p>
    <w:p w14:paraId="77A258A7" w14:textId="2A2FECF7" w:rsidR="00675D07" w:rsidRPr="0086186A" w:rsidRDefault="00675D07" w:rsidP="00D8786F">
      <w:pPr>
        <w:pStyle w:val="BodyText"/>
        <w:ind w:left="170" w:right="135"/>
        <w:jc w:val="both"/>
        <w:rPr>
          <w:rFonts w:ascii="Times New Roman" w:hAnsi="Times New Roman" w:cs="Times New Roman"/>
          <w:sz w:val="20"/>
          <w:szCs w:val="20"/>
          <w:lang w:val="hr-HR"/>
        </w:rPr>
      </w:pPr>
    </w:p>
    <w:p w14:paraId="2E2F013F" w14:textId="32FC0D02" w:rsidR="00A0749F" w:rsidRPr="0086186A" w:rsidRDefault="00675D07"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S obzirom na sektorski fokus i strukturu gospodarstava u pograničnom području, podaci strukturne </w:t>
      </w:r>
      <w:r w:rsidR="00A0749F" w:rsidRPr="0086186A">
        <w:rPr>
          <w:rFonts w:ascii="Times New Roman" w:hAnsi="Times New Roman" w:cs="Times New Roman"/>
          <w:sz w:val="20"/>
          <w:szCs w:val="20"/>
          <w:lang w:val="hr-HR"/>
        </w:rPr>
        <w:t xml:space="preserve">statistike o poslovanju pokazuju da kontinentalna Hrvatska ima relativno snažniji fokus na proizvodnu, veleprodaju, maloprodaju te djelatnosti smještaja i posluživanja hrane. Zapadno Podunavlje i južno Podunavlje imaju snažniji relativni fokus na građevinu te profesionalne, znanstvene i tehničke aktivnosti. S obzirom na udio zaposlenika, kontinentalna Hrvatska ima relativno snažniji fokus na veleprodaju, maloprodaju, </w:t>
      </w:r>
      <w:proofErr w:type="spellStart"/>
      <w:r w:rsidR="00A0749F" w:rsidRPr="0086186A">
        <w:rPr>
          <w:rFonts w:ascii="Times New Roman" w:hAnsi="Times New Roman" w:cs="Times New Roman"/>
          <w:sz w:val="20"/>
          <w:szCs w:val="20"/>
          <w:lang w:val="hr-HR"/>
        </w:rPr>
        <w:t>IKT</w:t>
      </w:r>
      <w:proofErr w:type="spellEnd"/>
      <w:r w:rsidR="00A0749F" w:rsidRPr="0086186A">
        <w:rPr>
          <w:rFonts w:ascii="Times New Roman" w:hAnsi="Times New Roman" w:cs="Times New Roman"/>
          <w:sz w:val="20"/>
          <w:szCs w:val="20"/>
          <w:lang w:val="hr-HR"/>
        </w:rPr>
        <w:t xml:space="preserve"> te profesionalne, znanstvene i tehničke aktivnosti. Podaci na razini županija upućuju na snažnu prisutnost proizvodne industrije u Mađarskoj, a slijede je Međimurska županija i Koprivničko-križevačka županija. Na mađarskoj je strani Zala predvodnica među županijama, sa 102% nacionalnog prosjeka, a slijede je </w:t>
      </w:r>
      <w:proofErr w:type="spellStart"/>
      <w:r w:rsidR="00A0749F" w:rsidRPr="0086186A">
        <w:rPr>
          <w:rFonts w:ascii="Times New Roman" w:hAnsi="Times New Roman" w:cs="Times New Roman"/>
          <w:sz w:val="20"/>
          <w:szCs w:val="20"/>
          <w:lang w:val="hr-HR"/>
        </w:rPr>
        <w:t>Somo</w:t>
      </w:r>
      <w:r w:rsidR="00864A4B" w:rsidRPr="0086186A">
        <w:rPr>
          <w:rFonts w:ascii="Times New Roman" w:hAnsi="Times New Roman" w:cs="Times New Roman"/>
          <w:sz w:val="20"/>
          <w:szCs w:val="20"/>
          <w:lang w:val="hr-HR"/>
        </w:rPr>
        <w:t>gy</w:t>
      </w:r>
      <w:proofErr w:type="spellEnd"/>
      <w:r w:rsidR="00864A4B" w:rsidRPr="0086186A">
        <w:rPr>
          <w:rFonts w:ascii="Times New Roman" w:hAnsi="Times New Roman" w:cs="Times New Roman"/>
          <w:sz w:val="20"/>
          <w:szCs w:val="20"/>
          <w:lang w:val="hr-HR"/>
        </w:rPr>
        <w:t xml:space="preserve"> i </w:t>
      </w:r>
      <w:proofErr w:type="spellStart"/>
      <w:r w:rsidR="00864A4B" w:rsidRPr="0086186A">
        <w:rPr>
          <w:rFonts w:ascii="Times New Roman" w:hAnsi="Times New Roman" w:cs="Times New Roman"/>
          <w:sz w:val="20"/>
          <w:szCs w:val="20"/>
          <w:lang w:val="hr-HR"/>
        </w:rPr>
        <w:t>Baranya</w:t>
      </w:r>
      <w:proofErr w:type="spellEnd"/>
      <w:r w:rsidR="00864A4B" w:rsidRPr="0086186A">
        <w:rPr>
          <w:rFonts w:ascii="Times New Roman" w:hAnsi="Times New Roman" w:cs="Times New Roman"/>
          <w:sz w:val="20"/>
          <w:szCs w:val="20"/>
          <w:lang w:val="hr-HR"/>
        </w:rPr>
        <w:t>.</w:t>
      </w:r>
    </w:p>
    <w:p w14:paraId="0A8BC99D" w14:textId="2FC2553E" w:rsidR="00864A4B" w:rsidRPr="0086186A" w:rsidRDefault="00864A4B" w:rsidP="00D8786F">
      <w:pPr>
        <w:pStyle w:val="BodyText"/>
        <w:ind w:left="170" w:right="135"/>
        <w:jc w:val="both"/>
        <w:rPr>
          <w:rFonts w:ascii="Times New Roman" w:hAnsi="Times New Roman" w:cs="Times New Roman"/>
          <w:sz w:val="20"/>
          <w:szCs w:val="20"/>
          <w:lang w:val="hr-HR"/>
        </w:rPr>
      </w:pPr>
    </w:p>
    <w:p w14:paraId="4D4CF0C2" w14:textId="6AE6C3B1" w:rsidR="00864A4B" w:rsidRPr="0086186A" w:rsidRDefault="00864A4B"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Što se tiče uslužnog sektora u bruto dodanoj vrijednosti, u programskom području Osječko-baranjska županija ima najsnažniji položaj (60,2%), dok Međimurska ima najniži. Na mađarskoj su strani sve županije iznad 60%. Najviše je uslužno orijentirana </w:t>
      </w:r>
      <w:proofErr w:type="spellStart"/>
      <w:r w:rsidRPr="0086186A">
        <w:rPr>
          <w:rFonts w:ascii="Times New Roman" w:hAnsi="Times New Roman" w:cs="Times New Roman"/>
          <w:sz w:val="20"/>
          <w:szCs w:val="20"/>
          <w:lang w:val="hr-HR"/>
        </w:rPr>
        <w:t>Baranya</w:t>
      </w:r>
      <w:proofErr w:type="spellEnd"/>
      <w:r w:rsidRPr="0086186A">
        <w:rPr>
          <w:rFonts w:ascii="Times New Roman" w:hAnsi="Times New Roman" w:cs="Times New Roman"/>
          <w:sz w:val="20"/>
          <w:szCs w:val="20"/>
          <w:lang w:val="hr-HR"/>
        </w:rPr>
        <w:t xml:space="preserve"> sa 66,4% </w:t>
      </w:r>
      <w:proofErr w:type="spellStart"/>
      <w:r w:rsidRPr="0086186A">
        <w:rPr>
          <w:rFonts w:ascii="Times New Roman" w:hAnsi="Times New Roman" w:cs="Times New Roman"/>
          <w:sz w:val="20"/>
          <w:szCs w:val="20"/>
          <w:lang w:val="hr-HR"/>
        </w:rPr>
        <w:t>GVA</w:t>
      </w:r>
      <w:proofErr w:type="spellEnd"/>
      <w:r w:rsidRPr="0086186A">
        <w:rPr>
          <w:rFonts w:ascii="Times New Roman" w:hAnsi="Times New Roman" w:cs="Times New Roman"/>
          <w:sz w:val="20"/>
          <w:szCs w:val="20"/>
          <w:lang w:val="hr-HR"/>
        </w:rPr>
        <w:t>, s relativno visokom prisutnošću vladinih usluga i nižim udjelom poslovnih usluga.</w:t>
      </w:r>
    </w:p>
    <w:p w14:paraId="31EE49A6" w14:textId="1D8C31F5" w:rsidR="00864A4B" w:rsidRPr="0086186A" w:rsidRDefault="00864A4B" w:rsidP="00D8786F">
      <w:pPr>
        <w:pStyle w:val="BodyText"/>
        <w:ind w:left="170" w:right="135"/>
        <w:jc w:val="both"/>
        <w:rPr>
          <w:rFonts w:ascii="Times New Roman" w:hAnsi="Times New Roman" w:cs="Times New Roman"/>
          <w:sz w:val="20"/>
          <w:szCs w:val="20"/>
          <w:lang w:val="hr-HR"/>
        </w:rPr>
      </w:pPr>
    </w:p>
    <w:p w14:paraId="266556E0" w14:textId="02FDF512" w:rsidR="00864A4B" w:rsidRPr="0086186A" w:rsidRDefault="00864A4B"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Mađarsko-hrvatsko pogranično područje ne pokazuje znakove stvarne sektorske specijalizacije. Tamo posluje većina segmenata prerađivačke industrije. Među njima valja spomenuti prehrambenu industriju, strojeve i značajne kapacitete pogona za sklapanje elektronike. Zbog nedostatka velikih poduzeća </w:t>
      </w:r>
      <w:r w:rsidR="00F84498" w:rsidRPr="0086186A">
        <w:rPr>
          <w:rFonts w:ascii="Times New Roman" w:hAnsi="Times New Roman" w:cs="Times New Roman"/>
          <w:sz w:val="20"/>
          <w:szCs w:val="20"/>
          <w:lang w:val="hr-HR"/>
        </w:rPr>
        <w:t>opravdana</w:t>
      </w:r>
      <w:r w:rsidRPr="0086186A">
        <w:rPr>
          <w:rFonts w:ascii="Times New Roman" w:hAnsi="Times New Roman" w:cs="Times New Roman"/>
          <w:sz w:val="20"/>
          <w:szCs w:val="20"/>
          <w:lang w:val="hr-HR"/>
        </w:rPr>
        <w:t xml:space="preserve"> je </w:t>
      </w:r>
      <w:proofErr w:type="spellStart"/>
      <w:r w:rsidRPr="0086186A">
        <w:rPr>
          <w:rFonts w:ascii="Times New Roman" w:hAnsi="Times New Roman" w:cs="Times New Roman"/>
          <w:sz w:val="20"/>
          <w:szCs w:val="20"/>
          <w:lang w:val="hr-HR"/>
        </w:rPr>
        <w:t>nesektorska</w:t>
      </w:r>
      <w:proofErr w:type="spellEnd"/>
      <w:r w:rsidRPr="0086186A">
        <w:rPr>
          <w:rFonts w:ascii="Times New Roman" w:hAnsi="Times New Roman" w:cs="Times New Roman"/>
          <w:sz w:val="20"/>
          <w:szCs w:val="20"/>
          <w:lang w:val="hr-HR"/>
        </w:rPr>
        <w:t xml:space="preserve"> potpora malim i srednjim poduzećima, kao i jačanje već etabliranog poljoprivrednog sektora, što potencijalno može ojačati kapacitete i tržišni udio lokalnih poduzeća.</w:t>
      </w:r>
    </w:p>
    <w:p w14:paraId="48572966" w14:textId="52DC14DB" w:rsidR="00864A4B" w:rsidRPr="0086186A" w:rsidRDefault="00864A4B" w:rsidP="00D8786F">
      <w:pPr>
        <w:pStyle w:val="BodyText"/>
        <w:ind w:left="170" w:right="135"/>
        <w:jc w:val="both"/>
        <w:rPr>
          <w:rFonts w:ascii="Times New Roman" w:hAnsi="Times New Roman" w:cs="Times New Roman"/>
          <w:sz w:val="20"/>
          <w:szCs w:val="20"/>
          <w:lang w:val="hr-HR"/>
        </w:rPr>
      </w:pPr>
    </w:p>
    <w:p w14:paraId="6018F77D" w14:textId="015AC8F9" w:rsidR="00864A4B" w:rsidRPr="0086186A" w:rsidRDefault="00864A4B"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Glavni izazov na pograničnom području jest niska razina inovacije i suradnje među gospodarskim akterima, što se može potaknuti </w:t>
      </w:r>
      <w:proofErr w:type="spellStart"/>
      <w:r w:rsidRPr="0086186A">
        <w:rPr>
          <w:rFonts w:ascii="Times New Roman" w:hAnsi="Times New Roman" w:cs="Times New Roman"/>
          <w:sz w:val="20"/>
          <w:szCs w:val="20"/>
          <w:lang w:val="hr-HR"/>
        </w:rPr>
        <w:t>prekograničnoim</w:t>
      </w:r>
      <w:proofErr w:type="spellEnd"/>
      <w:r w:rsidRPr="0086186A">
        <w:rPr>
          <w:rFonts w:ascii="Times New Roman" w:hAnsi="Times New Roman" w:cs="Times New Roman"/>
          <w:sz w:val="20"/>
          <w:szCs w:val="20"/>
          <w:lang w:val="hr-HR"/>
        </w:rPr>
        <w:t xml:space="preserve"> suradnjom kroz poticanje prekogranične trgovine među malim i srednjim poduzećima, kao i pokretanjem zajedničkih inovacijskih projekata među poduzećima koja posluju u pograničnom području,</w:t>
      </w:r>
      <w:r w:rsidR="00AE503C" w:rsidRPr="0086186A">
        <w:rPr>
          <w:rFonts w:ascii="Times New Roman" w:hAnsi="Times New Roman" w:cs="Times New Roman"/>
          <w:sz w:val="20"/>
          <w:szCs w:val="20"/>
          <w:lang w:val="hr-HR"/>
        </w:rPr>
        <w:t xml:space="preserve"> uz moguće uključivanje lokalnih sveučilišta.</w:t>
      </w:r>
    </w:p>
    <w:p w14:paraId="12DCA199" w14:textId="35301358" w:rsidR="00AE503C" w:rsidRPr="0086186A" w:rsidRDefault="00AE503C" w:rsidP="00D8786F">
      <w:pPr>
        <w:pStyle w:val="BodyText"/>
        <w:ind w:left="170" w:right="135"/>
        <w:jc w:val="both"/>
        <w:rPr>
          <w:rFonts w:ascii="Times New Roman" w:hAnsi="Times New Roman" w:cs="Times New Roman"/>
          <w:sz w:val="20"/>
          <w:szCs w:val="20"/>
          <w:lang w:val="hr-HR"/>
        </w:rPr>
      </w:pPr>
    </w:p>
    <w:p w14:paraId="1062F51F" w14:textId="6188C56C" w:rsidR="00AE503C" w:rsidRPr="0086186A" w:rsidRDefault="00AE503C" w:rsidP="00D8786F">
      <w:pPr>
        <w:pStyle w:val="BodyText"/>
        <w:ind w:left="170" w:right="135"/>
        <w:jc w:val="both"/>
        <w:rPr>
          <w:rFonts w:ascii="Times New Roman" w:hAnsi="Times New Roman" w:cs="Times New Roman"/>
          <w:i/>
          <w:iCs/>
          <w:sz w:val="20"/>
          <w:szCs w:val="20"/>
          <w:lang w:val="hr-HR"/>
        </w:rPr>
      </w:pPr>
      <w:r w:rsidRPr="0086186A">
        <w:rPr>
          <w:rFonts w:ascii="Times New Roman" w:hAnsi="Times New Roman" w:cs="Times New Roman"/>
          <w:i/>
          <w:iCs/>
          <w:sz w:val="20"/>
          <w:szCs w:val="20"/>
          <w:lang w:val="hr-HR"/>
        </w:rPr>
        <w:t>Turizam</w:t>
      </w:r>
    </w:p>
    <w:p w14:paraId="570A9EF1" w14:textId="4D80742B" w:rsidR="00AE503C" w:rsidRPr="0086186A" w:rsidRDefault="00AE503C" w:rsidP="00D8786F">
      <w:pPr>
        <w:pStyle w:val="BodyText"/>
        <w:ind w:left="170" w:right="135"/>
        <w:jc w:val="both"/>
        <w:rPr>
          <w:rFonts w:ascii="Times New Roman" w:hAnsi="Times New Roman" w:cs="Times New Roman"/>
          <w:sz w:val="20"/>
          <w:szCs w:val="20"/>
          <w:lang w:val="hr-HR"/>
        </w:rPr>
      </w:pPr>
    </w:p>
    <w:p w14:paraId="53F56FAF" w14:textId="3656FB4E" w:rsidR="00AE503C" w:rsidRPr="0086186A" w:rsidRDefault="00AE503C"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lastRenderedPageBreak/>
        <w:t>Važni turistički magneti su Balatonsko jezero i toplice u Zali (</w:t>
      </w:r>
      <w:proofErr w:type="spellStart"/>
      <w:r w:rsidRPr="0086186A">
        <w:rPr>
          <w:rFonts w:ascii="Times New Roman" w:hAnsi="Times New Roman" w:cs="Times New Roman"/>
          <w:sz w:val="20"/>
          <w:szCs w:val="20"/>
          <w:lang w:val="hr-HR"/>
        </w:rPr>
        <w:t>Hévíz</w:t>
      </w:r>
      <w:proofErr w:type="spellEnd"/>
      <w:r w:rsidRPr="0086186A">
        <w:rPr>
          <w:rFonts w:ascii="Times New Roman" w:hAnsi="Times New Roman" w:cs="Times New Roman"/>
          <w:sz w:val="20"/>
          <w:szCs w:val="20"/>
          <w:lang w:val="hr-HR"/>
        </w:rPr>
        <w:t xml:space="preserve">, </w:t>
      </w:r>
      <w:proofErr w:type="spellStart"/>
      <w:r w:rsidRPr="0086186A">
        <w:rPr>
          <w:rFonts w:ascii="Times New Roman" w:hAnsi="Times New Roman" w:cs="Times New Roman"/>
          <w:sz w:val="20"/>
          <w:szCs w:val="20"/>
          <w:lang w:val="hr-HR"/>
        </w:rPr>
        <w:t>Kehidakustány</w:t>
      </w:r>
      <w:proofErr w:type="spellEnd"/>
      <w:r w:rsidRPr="0086186A">
        <w:rPr>
          <w:rFonts w:ascii="Times New Roman" w:hAnsi="Times New Roman" w:cs="Times New Roman"/>
          <w:sz w:val="20"/>
          <w:szCs w:val="20"/>
          <w:lang w:val="hr-HR"/>
        </w:rPr>
        <w:t xml:space="preserve">, Lenti, </w:t>
      </w:r>
      <w:proofErr w:type="spellStart"/>
      <w:r w:rsidRPr="0086186A">
        <w:rPr>
          <w:rFonts w:ascii="Times New Roman" w:hAnsi="Times New Roman" w:cs="Times New Roman"/>
          <w:sz w:val="20"/>
          <w:szCs w:val="20"/>
          <w:lang w:val="hr-HR"/>
        </w:rPr>
        <w:t>Zalakaros</w:t>
      </w:r>
      <w:proofErr w:type="spellEnd"/>
      <w:r w:rsidRPr="0086186A">
        <w:rPr>
          <w:rFonts w:ascii="Times New Roman" w:hAnsi="Times New Roman" w:cs="Times New Roman"/>
          <w:sz w:val="20"/>
          <w:szCs w:val="20"/>
          <w:lang w:val="hr-HR"/>
        </w:rPr>
        <w:t xml:space="preserve">, </w:t>
      </w:r>
      <w:proofErr w:type="spellStart"/>
      <w:r w:rsidRPr="0086186A">
        <w:rPr>
          <w:rFonts w:ascii="Times New Roman" w:hAnsi="Times New Roman" w:cs="Times New Roman"/>
          <w:sz w:val="20"/>
          <w:szCs w:val="20"/>
          <w:lang w:val="hr-HR"/>
        </w:rPr>
        <w:t>Zalaszentgrót</w:t>
      </w:r>
      <w:proofErr w:type="spellEnd"/>
      <w:r w:rsidRPr="0086186A">
        <w:rPr>
          <w:rFonts w:ascii="Times New Roman" w:hAnsi="Times New Roman" w:cs="Times New Roman"/>
          <w:sz w:val="20"/>
          <w:szCs w:val="20"/>
          <w:lang w:val="hr-HR"/>
        </w:rPr>
        <w:t xml:space="preserve">), kao i u </w:t>
      </w:r>
      <w:proofErr w:type="spellStart"/>
      <w:r w:rsidRPr="0086186A">
        <w:rPr>
          <w:rFonts w:ascii="Times New Roman" w:hAnsi="Times New Roman" w:cs="Times New Roman"/>
          <w:sz w:val="20"/>
          <w:szCs w:val="20"/>
          <w:lang w:val="hr-HR"/>
        </w:rPr>
        <w:t>Baranyi</w:t>
      </w:r>
      <w:proofErr w:type="spellEnd"/>
      <w:r w:rsidRPr="0086186A">
        <w:rPr>
          <w:rFonts w:ascii="Times New Roman" w:hAnsi="Times New Roman" w:cs="Times New Roman"/>
          <w:sz w:val="20"/>
          <w:szCs w:val="20"/>
          <w:lang w:val="hr-HR"/>
        </w:rPr>
        <w:t xml:space="preserve"> (</w:t>
      </w:r>
      <w:proofErr w:type="spellStart"/>
      <w:r w:rsidRPr="0086186A">
        <w:rPr>
          <w:rFonts w:ascii="Times New Roman" w:hAnsi="Times New Roman" w:cs="Times New Roman"/>
          <w:sz w:val="20"/>
          <w:szCs w:val="20"/>
          <w:lang w:val="hr-HR"/>
        </w:rPr>
        <w:t>Harkány</w:t>
      </w:r>
      <w:proofErr w:type="spellEnd"/>
      <w:r w:rsidRPr="0086186A">
        <w:rPr>
          <w:rFonts w:ascii="Times New Roman" w:hAnsi="Times New Roman" w:cs="Times New Roman"/>
          <w:sz w:val="20"/>
          <w:szCs w:val="20"/>
          <w:lang w:val="hr-HR"/>
        </w:rPr>
        <w:t xml:space="preserve">, </w:t>
      </w:r>
      <w:proofErr w:type="spellStart"/>
      <w:r w:rsidRPr="0086186A">
        <w:rPr>
          <w:rFonts w:ascii="Times New Roman" w:hAnsi="Times New Roman" w:cs="Times New Roman"/>
          <w:sz w:val="20"/>
          <w:szCs w:val="20"/>
          <w:lang w:val="hr-HR"/>
        </w:rPr>
        <w:t>Magyarhertelend</w:t>
      </w:r>
      <w:proofErr w:type="spellEnd"/>
      <w:r w:rsidRPr="0086186A">
        <w:rPr>
          <w:rFonts w:ascii="Times New Roman" w:hAnsi="Times New Roman" w:cs="Times New Roman"/>
          <w:sz w:val="20"/>
          <w:szCs w:val="20"/>
          <w:lang w:val="hr-HR"/>
        </w:rPr>
        <w:t xml:space="preserve">, </w:t>
      </w:r>
      <w:proofErr w:type="spellStart"/>
      <w:r w:rsidRPr="0086186A">
        <w:rPr>
          <w:rFonts w:ascii="Times New Roman" w:hAnsi="Times New Roman" w:cs="Times New Roman"/>
          <w:sz w:val="20"/>
          <w:szCs w:val="20"/>
          <w:lang w:val="hr-HR"/>
        </w:rPr>
        <w:t>Siklós</w:t>
      </w:r>
      <w:proofErr w:type="spellEnd"/>
      <w:r w:rsidRPr="0086186A">
        <w:rPr>
          <w:rFonts w:ascii="Times New Roman" w:hAnsi="Times New Roman" w:cs="Times New Roman"/>
          <w:sz w:val="20"/>
          <w:szCs w:val="20"/>
          <w:lang w:val="hr-HR"/>
        </w:rPr>
        <w:t xml:space="preserve">, </w:t>
      </w:r>
      <w:proofErr w:type="spellStart"/>
      <w:r w:rsidRPr="0086186A">
        <w:rPr>
          <w:rFonts w:ascii="Times New Roman" w:hAnsi="Times New Roman" w:cs="Times New Roman"/>
          <w:sz w:val="20"/>
          <w:szCs w:val="20"/>
          <w:lang w:val="hr-HR"/>
        </w:rPr>
        <w:t>Sikonda</w:t>
      </w:r>
      <w:proofErr w:type="spellEnd"/>
      <w:r w:rsidRPr="0086186A">
        <w:rPr>
          <w:rFonts w:ascii="Times New Roman" w:hAnsi="Times New Roman" w:cs="Times New Roman"/>
          <w:sz w:val="20"/>
          <w:szCs w:val="20"/>
          <w:lang w:val="hr-HR"/>
        </w:rPr>
        <w:t xml:space="preserve">, </w:t>
      </w:r>
      <w:proofErr w:type="spellStart"/>
      <w:r w:rsidRPr="0086186A">
        <w:rPr>
          <w:rFonts w:ascii="Times New Roman" w:hAnsi="Times New Roman" w:cs="Times New Roman"/>
          <w:sz w:val="20"/>
          <w:szCs w:val="20"/>
          <w:lang w:val="hr-HR"/>
        </w:rPr>
        <w:t>Szigetvár</w:t>
      </w:r>
      <w:proofErr w:type="spellEnd"/>
      <w:r w:rsidRPr="0086186A">
        <w:rPr>
          <w:rFonts w:ascii="Times New Roman" w:hAnsi="Times New Roman" w:cs="Times New Roman"/>
          <w:sz w:val="20"/>
          <w:szCs w:val="20"/>
          <w:lang w:val="hr-HR"/>
        </w:rPr>
        <w:t xml:space="preserve">) i </w:t>
      </w:r>
      <w:proofErr w:type="spellStart"/>
      <w:r w:rsidRPr="0086186A">
        <w:rPr>
          <w:rFonts w:ascii="Times New Roman" w:hAnsi="Times New Roman" w:cs="Times New Roman"/>
          <w:sz w:val="20"/>
          <w:szCs w:val="20"/>
          <w:lang w:val="hr-HR"/>
        </w:rPr>
        <w:t>Somogyju</w:t>
      </w:r>
      <w:proofErr w:type="spellEnd"/>
      <w:r w:rsidRPr="0086186A">
        <w:rPr>
          <w:rFonts w:ascii="Times New Roman" w:hAnsi="Times New Roman" w:cs="Times New Roman"/>
          <w:sz w:val="20"/>
          <w:szCs w:val="20"/>
          <w:lang w:val="hr-HR"/>
        </w:rPr>
        <w:t xml:space="preserve"> (</w:t>
      </w:r>
      <w:proofErr w:type="spellStart"/>
      <w:r w:rsidRPr="0086186A">
        <w:rPr>
          <w:rFonts w:ascii="Times New Roman" w:hAnsi="Times New Roman" w:cs="Times New Roman"/>
          <w:sz w:val="20"/>
          <w:szCs w:val="20"/>
          <w:lang w:val="hr-HR"/>
        </w:rPr>
        <w:t>Bar</w:t>
      </w:r>
      <w:r w:rsidR="00AB4087" w:rsidRPr="0086186A">
        <w:rPr>
          <w:rFonts w:ascii="Times New Roman" w:hAnsi="Times New Roman" w:cs="Times New Roman"/>
          <w:sz w:val="20"/>
          <w:szCs w:val="20"/>
          <w:lang w:val="hr-HR"/>
        </w:rPr>
        <w:t>č</w:t>
      </w:r>
      <w:proofErr w:type="spellEnd"/>
      <w:r w:rsidRPr="0086186A">
        <w:rPr>
          <w:rFonts w:ascii="Times New Roman" w:hAnsi="Times New Roman" w:cs="Times New Roman"/>
          <w:sz w:val="20"/>
          <w:szCs w:val="20"/>
          <w:lang w:val="hr-HR"/>
        </w:rPr>
        <w:t xml:space="preserve">, </w:t>
      </w:r>
      <w:proofErr w:type="spellStart"/>
      <w:r w:rsidRPr="0086186A">
        <w:rPr>
          <w:rFonts w:ascii="Times New Roman" w:hAnsi="Times New Roman" w:cs="Times New Roman"/>
          <w:sz w:val="20"/>
          <w:szCs w:val="20"/>
          <w:lang w:val="hr-HR"/>
        </w:rPr>
        <w:t>Csokonyavisonta</w:t>
      </w:r>
      <w:proofErr w:type="spellEnd"/>
      <w:r w:rsidRPr="0086186A">
        <w:rPr>
          <w:rFonts w:ascii="Times New Roman" w:hAnsi="Times New Roman" w:cs="Times New Roman"/>
          <w:sz w:val="20"/>
          <w:szCs w:val="20"/>
          <w:lang w:val="hr-HR"/>
        </w:rPr>
        <w:t xml:space="preserve">, </w:t>
      </w:r>
      <w:proofErr w:type="spellStart"/>
      <w:r w:rsidRPr="0086186A">
        <w:rPr>
          <w:rFonts w:ascii="Times New Roman" w:hAnsi="Times New Roman" w:cs="Times New Roman"/>
          <w:sz w:val="20"/>
          <w:szCs w:val="20"/>
          <w:lang w:val="hr-HR"/>
        </w:rPr>
        <w:t>Igal</w:t>
      </w:r>
      <w:proofErr w:type="spellEnd"/>
      <w:r w:rsidRPr="0086186A">
        <w:rPr>
          <w:rFonts w:ascii="Times New Roman" w:hAnsi="Times New Roman" w:cs="Times New Roman"/>
          <w:sz w:val="20"/>
          <w:szCs w:val="20"/>
          <w:lang w:val="hr-HR"/>
        </w:rPr>
        <w:t xml:space="preserve">, </w:t>
      </w:r>
      <w:proofErr w:type="spellStart"/>
      <w:r w:rsidRPr="0086186A">
        <w:rPr>
          <w:rFonts w:ascii="Times New Roman" w:hAnsi="Times New Roman" w:cs="Times New Roman"/>
          <w:sz w:val="20"/>
          <w:szCs w:val="20"/>
          <w:lang w:val="hr-HR"/>
        </w:rPr>
        <w:t>Marcali</w:t>
      </w:r>
      <w:proofErr w:type="spellEnd"/>
      <w:r w:rsidRPr="0086186A">
        <w:rPr>
          <w:rFonts w:ascii="Times New Roman" w:hAnsi="Times New Roman" w:cs="Times New Roman"/>
          <w:sz w:val="20"/>
          <w:szCs w:val="20"/>
          <w:lang w:val="hr-HR"/>
        </w:rPr>
        <w:t xml:space="preserve">, </w:t>
      </w:r>
      <w:proofErr w:type="spellStart"/>
      <w:r w:rsidRPr="0086186A">
        <w:rPr>
          <w:rFonts w:ascii="Times New Roman" w:hAnsi="Times New Roman" w:cs="Times New Roman"/>
          <w:sz w:val="20"/>
          <w:szCs w:val="20"/>
          <w:lang w:val="hr-HR"/>
        </w:rPr>
        <w:t>Nagyatád</w:t>
      </w:r>
      <w:proofErr w:type="spellEnd"/>
      <w:r w:rsidRPr="0086186A">
        <w:rPr>
          <w:rFonts w:ascii="Times New Roman" w:hAnsi="Times New Roman" w:cs="Times New Roman"/>
          <w:sz w:val="20"/>
          <w:szCs w:val="20"/>
          <w:lang w:val="hr-HR"/>
        </w:rPr>
        <w:t>). Na hrvatskoj</w:t>
      </w:r>
      <w:r w:rsidR="002C5FC7" w:rsidRPr="0086186A">
        <w:rPr>
          <w:rFonts w:ascii="Times New Roman" w:hAnsi="Times New Roman" w:cs="Times New Roman"/>
          <w:sz w:val="20"/>
          <w:szCs w:val="20"/>
          <w:lang w:val="hr-HR"/>
        </w:rPr>
        <w:t xml:space="preserve"> se</w:t>
      </w:r>
      <w:r w:rsidRPr="0086186A">
        <w:rPr>
          <w:rFonts w:ascii="Times New Roman" w:hAnsi="Times New Roman" w:cs="Times New Roman"/>
          <w:sz w:val="20"/>
          <w:szCs w:val="20"/>
          <w:lang w:val="hr-HR"/>
        </w:rPr>
        <w:t xml:space="preserve"> strani </w:t>
      </w:r>
      <w:r w:rsidR="002C5FC7" w:rsidRPr="0086186A">
        <w:rPr>
          <w:rFonts w:ascii="Times New Roman" w:hAnsi="Times New Roman" w:cs="Times New Roman"/>
          <w:sz w:val="20"/>
          <w:szCs w:val="20"/>
          <w:lang w:val="hr-HR"/>
        </w:rPr>
        <w:t xml:space="preserve">ističu </w:t>
      </w:r>
      <w:r w:rsidRPr="0086186A">
        <w:rPr>
          <w:rFonts w:ascii="Times New Roman" w:hAnsi="Times New Roman" w:cs="Times New Roman"/>
          <w:sz w:val="20"/>
          <w:szCs w:val="20"/>
          <w:lang w:val="hr-HR"/>
        </w:rPr>
        <w:t>Bizovac, Daruvar, Sveti Martin na Muri i Varaždinske Toplice</w:t>
      </w:r>
      <w:r w:rsidR="002C5FC7" w:rsidRPr="0086186A">
        <w:rPr>
          <w:rFonts w:ascii="Times New Roman" w:hAnsi="Times New Roman" w:cs="Times New Roman"/>
          <w:sz w:val="20"/>
          <w:szCs w:val="20"/>
          <w:lang w:val="hr-HR"/>
        </w:rPr>
        <w:t xml:space="preserve"> u sektoru toplica i </w:t>
      </w:r>
      <w:r w:rsidR="002C5FC7" w:rsidRPr="0086186A">
        <w:rPr>
          <w:rFonts w:ascii="Times New Roman" w:hAnsi="Times New Roman" w:cs="Times New Roman"/>
          <w:i/>
          <w:iCs/>
          <w:sz w:val="20"/>
          <w:szCs w:val="20"/>
          <w:lang w:val="hr-HR"/>
        </w:rPr>
        <w:t>wellnessa</w:t>
      </w:r>
      <w:r w:rsidR="002C5FC7" w:rsidRPr="0086186A">
        <w:rPr>
          <w:rFonts w:ascii="Times New Roman" w:hAnsi="Times New Roman" w:cs="Times New Roman"/>
          <w:sz w:val="20"/>
          <w:szCs w:val="20"/>
          <w:lang w:val="hr-HR"/>
        </w:rPr>
        <w:t>. Ciljna skupina tih usluga prvenstveno su domaći turisti, no neke destinacije privlače i značajni broj stranih posjetitelja.</w:t>
      </w:r>
    </w:p>
    <w:p w14:paraId="79ECD780" w14:textId="0E143BFE" w:rsidR="002C5FC7" w:rsidRPr="0086186A" w:rsidRDefault="002C5FC7" w:rsidP="00D8786F">
      <w:pPr>
        <w:pStyle w:val="BodyText"/>
        <w:ind w:left="170" w:right="135"/>
        <w:jc w:val="both"/>
        <w:rPr>
          <w:rFonts w:ascii="Times New Roman" w:hAnsi="Times New Roman" w:cs="Times New Roman"/>
          <w:sz w:val="20"/>
          <w:szCs w:val="20"/>
          <w:lang w:val="hr-HR"/>
        </w:rPr>
      </w:pPr>
    </w:p>
    <w:p w14:paraId="394E47BB" w14:textId="51C05AFE" w:rsidR="002C5FC7" w:rsidRPr="0086186A" w:rsidRDefault="002C5FC7"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Biciklistički promet i turizam u pograničnom području prisutan je uglavnom zbog mreže </w:t>
      </w:r>
      <w:proofErr w:type="spellStart"/>
      <w:r w:rsidRPr="0086186A">
        <w:rPr>
          <w:rFonts w:ascii="Times New Roman" w:hAnsi="Times New Roman" w:cs="Times New Roman"/>
          <w:sz w:val="20"/>
          <w:szCs w:val="20"/>
          <w:lang w:val="hr-HR"/>
        </w:rPr>
        <w:t>EuroVelo</w:t>
      </w:r>
      <w:proofErr w:type="spellEnd"/>
      <w:r w:rsidRPr="0086186A">
        <w:rPr>
          <w:rFonts w:ascii="Times New Roman" w:hAnsi="Times New Roman" w:cs="Times New Roman"/>
          <w:sz w:val="20"/>
          <w:szCs w:val="20"/>
          <w:lang w:val="hr-HR"/>
        </w:rPr>
        <w:t xml:space="preserve"> u spoju s </w:t>
      </w:r>
      <w:r w:rsidR="002D30B9" w:rsidRPr="0086186A">
        <w:rPr>
          <w:rFonts w:ascii="Times New Roman" w:hAnsi="Times New Roman" w:cs="Times New Roman"/>
          <w:sz w:val="20"/>
          <w:szCs w:val="20"/>
          <w:lang w:val="hr-HR"/>
        </w:rPr>
        <w:t xml:space="preserve">mađarskim i hrvatskim biciklističkim stazama. Iako je većina trasa na postojećoj infrastrukturi, opsežno znakovlje prema normama mreže </w:t>
      </w:r>
      <w:proofErr w:type="spellStart"/>
      <w:r w:rsidR="002D30B9" w:rsidRPr="0086186A">
        <w:rPr>
          <w:rFonts w:ascii="Times New Roman" w:hAnsi="Times New Roman" w:cs="Times New Roman"/>
          <w:sz w:val="20"/>
          <w:szCs w:val="20"/>
          <w:lang w:val="hr-HR"/>
        </w:rPr>
        <w:t>EuroVelo</w:t>
      </w:r>
      <w:proofErr w:type="spellEnd"/>
      <w:r w:rsidR="002D30B9" w:rsidRPr="0086186A">
        <w:rPr>
          <w:rFonts w:ascii="Times New Roman" w:hAnsi="Times New Roman" w:cs="Times New Roman"/>
          <w:sz w:val="20"/>
          <w:szCs w:val="20"/>
          <w:lang w:val="hr-HR"/>
        </w:rPr>
        <w:t xml:space="preserve"> i popratne usluge uglavnom izostaju.</w:t>
      </w:r>
    </w:p>
    <w:p w14:paraId="5B6F95F8" w14:textId="62D920CF" w:rsidR="002D30B9" w:rsidRPr="0086186A" w:rsidRDefault="002D30B9" w:rsidP="00D8786F">
      <w:pPr>
        <w:pStyle w:val="BodyText"/>
        <w:ind w:left="170" w:right="135"/>
        <w:jc w:val="both"/>
        <w:rPr>
          <w:rFonts w:ascii="Times New Roman" w:hAnsi="Times New Roman" w:cs="Times New Roman"/>
          <w:sz w:val="20"/>
          <w:szCs w:val="20"/>
          <w:lang w:val="hr-HR"/>
        </w:rPr>
      </w:pPr>
    </w:p>
    <w:p w14:paraId="51F932EC" w14:textId="5538E2C2" w:rsidR="00B319EA" w:rsidRPr="0086186A" w:rsidRDefault="002D30B9"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S obzirom na turističke smještajne kapacitete hrvatska strana značajno zaostaje za mađarskim županijama. Više od 92% smještajnih kapaciteta (kreveti, uključujući trajne i dodatne) nalazi se na mađarskoj strani, njih 70% u četiri okruga uz Balatonsko jezero.</w:t>
      </w:r>
      <w:r w:rsidR="00F13AFE" w:rsidRPr="0086186A">
        <w:rPr>
          <w:rFonts w:ascii="Times New Roman" w:hAnsi="Times New Roman" w:cs="Times New Roman"/>
          <w:sz w:val="20"/>
          <w:szCs w:val="20"/>
          <w:lang w:val="hr-HR"/>
        </w:rPr>
        <w:t xml:space="preserve"> Izvan tih okruga najznačajniji su kapaciteti u područjima </w:t>
      </w:r>
      <w:proofErr w:type="spellStart"/>
      <w:r w:rsidR="00F13AFE" w:rsidRPr="0086186A">
        <w:rPr>
          <w:rFonts w:ascii="Times New Roman" w:hAnsi="Times New Roman" w:cs="Times New Roman"/>
          <w:sz w:val="20"/>
          <w:szCs w:val="20"/>
          <w:lang w:val="hr-HR"/>
        </w:rPr>
        <w:t>Nagykanizse</w:t>
      </w:r>
      <w:proofErr w:type="spellEnd"/>
      <w:r w:rsidR="00F13AFE" w:rsidRPr="0086186A">
        <w:rPr>
          <w:rFonts w:ascii="Times New Roman" w:hAnsi="Times New Roman" w:cs="Times New Roman"/>
          <w:sz w:val="20"/>
          <w:szCs w:val="20"/>
          <w:lang w:val="hr-HR"/>
        </w:rPr>
        <w:t xml:space="preserve">, Pečuha i </w:t>
      </w:r>
      <w:proofErr w:type="spellStart"/>
      <w:r w:rsidR="00F13AFE" w:rsidRPr="0086186A">
        <w:rPr>
          <w:rFonts w:ascii="Times New Roman" w:hAnsi="Times New Roman" w:cs="Times New Roman"/>
          <w:sz w:val="20"/>
          <w:szCs w:val="20"/>
          <w:lang w:val="hr-HR"/>
        </w:rPr>
        <w:t>Siklósa</w:t>
      </w:r>
      <w:proofErr w:type="spellEnd"/>
      <w:r w:rsidR="00F13AFE" w:rsidRPr="0086186A">
        <w:rPr>
          <w:rFonts w:ascii="Times New Roman" w:hAnsi="Times New Roman" w:cs="Times New Roman"/>
          <w:sz w:val="20"/>
          <w:szCs w:val="20"/>
          <w:lang w:val="hr-HR"/>
        </w:rPr>
        <w:t>. Na hrvatskoj se strani najveći smještajni kapaciteti u Osječko-baranjskoj županiji i Međimurskoj županiji, a slijede ih Vukovarsko-srijemska županija i Međimurska županija.</w:t>
      </w:r>
    </w:p>
    <w:p w14:paraId="02601B99" w14:textId="3C0F7E5F" w:rsidR="00F13AFE" w:rsidRPr="0086186A" w:rsidRDefault="00F13AFE" w:rsidP="00D8786F">
      <w:pPr>
        <w:pStyle w:val="BodyText"/>
        <w:ind w:left="170" w:right="135"/>
        <w:jc w:val="both"/>
        <w:rPr>
          <w:rFonts w:ascii="Times New Roman" w:hAnsi="Times New Roman" w:cs="Times New Roman"/>
          <w:sz w:val="20"/>
          <w:szCs w:val="20"/>
          <w:lang w:val="hr-HR"/>
        </w:rPr>
      </w:pPr>
    </w:p>
    <w:p w14:paraId="396FC86C" w14:textId="075441AB" w:rsidR="00F13AFE" w:rsidRPr="0086186A" w:rsidRDefault="00F13AFE"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U Mađarskoj uloga turizma u Zali i </w:t>
      </w:r>
      <w:proofErr w:type="spellStart"/>
      <w:r w:rsidRPr="0086186A">
        <w:rPr>
          <w:rFonts w:ascii="Times New Roman" w:hAnsi="Times New Roman" w:cs="Times New Roman"/>
          <w:sz w:val="20"/>
          <w:szCs w:val="20"/>
          <w:lang w:val="hr-HR"/>
        </w:rPr>
        <w:t>Somogyju</w:t>
      </w:r>
      <w:proofErr w:type="spellEnd"/>
      <w:r w:rsidR="00F350F4" w:rsidRPr="0086186A">
        <w:rPr>
          <w:rFonts w:ascii="Times New Roman" w:hAnsi="Times New Roman" w:cs="Times New Roman"/>
          <w:sz w:val="20"/>
          <w:szCs w:val="20"/>
          <w:lang w:val="hr-HR"/>
        </w:rPr>
        <w:t xml:space="preserve"> izvanredna je s obzirom na broj gostiju. To je ponajviše zbog dostupnosti vodâ: Balatonskog jezera i toplica. Na tom području broj domaćih gostiju premašuje broj stranih, a najveći broj stranih gostiju zabilježen je u Zali. Toplice od međunarodne važnosti su </w:t>
      </w:r>
      <w:proofErr w:type="spellStart"/>
      <w:r w:rsidR="00F350F4" w:rsidRPr="0086186A">
        <w:rPr>
          <w:rFonts w:ascii="Times New Roman" w:hAnsi="Times New Roman" w:cs="Times New Roman"/>
          <w:sz w:val="20"/>
          <w:szCs w:val="20"/>
          <w:lang w:val="hr-HR"/>
        </w:rPr>
        <w:t>Harkány</w:t>
      </w:r>
      <w:proofErr w:type="spellEnd"/>
      <w:r w:rsidR="00F350F4" w:rsidRPr="0086186A">
        <w:rPr>
          <w:rFonts w:ascii="Times New Roman" w:hAnsi="Times New Roman" w:cs="Times New Roman"/>
          <w:sz w:val="20"/>
          <w:szCs w:val="20"/>
          <w:lang w:val="hr-HR"/>
        </w:rPr>
        <w:t xml:space="preserve">, </w:t>
      </w:r>
      <w:proofErr w:type="spellStart"/>
      <w:r w:rsidR="00F350F4" w:rsidRPr="0086186A">
        <w:rPr>
          <w:rFonts w:ascii="Times New Roman" w:hAnsi="Times New Roman" w:cs="Times New Roman"/>
          <w:sz w:val="20"/>
          <w:szCs w:val="20"/>
          <w:lang w:val="hr-HR"/>
        </w:rPr>
        <w:t>Hévíz</w:t>
      </w:r>
      <w:proofErr w:type="spellEnd"/>
      <w:r w:rsidR="00F350F4" w:rsidRPr="0086186A">
        <w:rPr>
          <w:rFonts w:ascii="Times New Roman" w:hAnsi="Times New Roman" w:cs="Times New Roman"/>
          <w:sz w:val="20"/>
          <w:szCs w:val="20"/>
          <w:lang w:val="hr-HR"/>
        </w:rPr>
        <w:t xml:space="preserve">, Lenti i </w:t>
      </w:r>
      <w:proofErr w:type="spellStart"/>
      <w:r w:rsidR="00F350F4" w:rsidRPr="0086186A">
        <w:rPr>
          <w:rFonts w:ascii="Times New Roman" w:hAnsi="Times New Roman" w:cs="Times New Roman"/>
          <w:sz w:val="20"/>
          <w:szCs w:val="20"/>
          <w:lang w:val="hr-HR"/>
        </w:rPr>
        <w:t>Zalakaros</w:t>
      </w:r>
      <w:proofErr w:type="spellEnd"/>
      <w:r w:rsidR="00F350F4" w:rsidRPr="0086186A">
        <w:rPr>
          <w:rFonts w:ascii="Times New Roman" w:hAnsi="Times New Roman" w:cs="Times New Roman"/>
          <w:sz w:val="20"/>
          <w:szCs w:val="20"/>
          <w:lang w:val="hr-HR"/>
        </w:rPr>
        <w:t xml:space="preserve">, no posluje i nekoliko drugih toplica. Neke druge važne turističke destinacije nalaze se u središtu županije </w:t>
      </w:r>
      <w:proofErr w:type="spellStart"/>
      <w:r w:rsidR="00F350F4" w:rsidRPr="0086186A">
        <w:rPr>
          <w:rFonts w:ascii="Times New Roman" w:hAnsi="Times New Roman" w:cs="Times New Roman"/>
          <w:sz w:val="20"/>
          <w:szCs w:val="20"/>
          <w:lang w:val="hr-HR"/>
        </w:rPr>
        <w:t>Baranyje</w:t>
      </w:r>
      <w:proofErr w:type="spellEnd"/>
      <w:r w:rsidR="00F350F4" w:rsidRPr="0086186A">
        <w:rPr>
          <w:rFonts w:ascii="Times New Roman" w:hAnsi="Times New Roman" w:cs="Times New Roman"/>
          <w:sz w:val="20"/>
          <w:szCs w:val="20"/>
          <w:lang w:val="hr-HR"/>
        </w:rPr>
        <w:t>: područje Pečuh-</w:t>
      </w:r>
      <w:proofErr w:type="spellStart"/>
      <w:r w:rsidR="00F350F4" w:rsidRPr="0086186A">
        <w:rPr>
          <w:rFonts w:ascii="Times New Roman" w:hAnsi="Times New Roman" w:cs="Times New Roman"/>
          <w:sz w:val="20"/>
          <w:szCs w:val="20"/>
          <w:lang w:val="hr-HR"/>
        </w:rPr>
        <w:t>Mecsek</w:t>
      </w:r>
      <w:proofErr w:type="spellEnd"/>
      <w:r w:rsidR="00F350F4" w:rsidRPr="0086186A">
        <w:rPr>
          <w:rFonts w:ascii="Times New Roman" w:hAnsi="Times New Roman" w:cs="Times New Roman"/>
          <w:sz w:val="20"/>
          <w:szCs w:val="20"/>
          <w:lang w:val="hr-HR"/>
        </w:rPr>
        <w:t>-</w:t>
      </w:r>
      <w:proofErr w:type="spellStart"/>
      <w:r w:rsidR="00F350F4" w:rsidRPr="0086186A">
        <w:rPr>
          <w:rFonts w:ascii="Times New Roman" w:hAnsi="Times New Roman" w:cs="Times New Roman"/>
          <w:sz w:val="20"/>
          <w:szCs w:val="20"/>
          <w:lang w:val="hr-HR"/>
        </w:rPr>
        <w:t>Siklós-Harkány</w:t>
      </w:r>
      <w:proofErr w:type="spellEnd"/>
      <w:r w:rsidR="00F350F4" w:rsidRPr="0086186A">
        <w:rPr>
          <w:rFonts w:ascii="Times New Roman" w:hAnsi="Times New Roman" w:cs="Times New Roman"/>
          <w:sz w:val="20"/>
          <w:szCs w:val="20"/>
          <w:lang w:val="hr-HR"/>
        </w:rPr>
        <w:t xml:space="preserve">, gdje kultura i gastronomija doprinose turističkom prometu. Pečuh sa svojim crkvenim (katedrale, crkve, samostani, džamija) i sekularnim (dvorci i tvrđave) zdanjima privlači brojne goste. U </w:t>
      </w:r>
      <w:proofErr w:type="spellStart"/>
      <w:r w:rsidR="00F350F4" w:rsidRPr="0086186A">
        <w:rPr>
          <w:rFonts w:ascii="Times New Roman" w:hAnsi="Times New Roman" w:cs="Times New Roman"/>
          <w:sz w:val="20"/>
          <w:szCs w:val="20"/>
          <w:lang w:val="hr-HR"/>
        </w:rPr>
        <w:t>Somogyju</w:t>
      </w:r>
      <w:proofErr w:type="spellEnd"/>
      <w:r w:rsidR="00F350F4" w:rsidRPr="0086186A">
        <w:rPr>
          <w:rFonts w:ascii="Times New Roman" w:hAnsi="Times New Roman" w:cs="Times New Roman"/>
          <w:sz w:val="20"/>
          <w:szCs w:val="20"/>
          <w:lang w:val="hr-HR"/>
        </w:rPr>
        <w:t xml:space="preserve"> i Zali lovački turizam također igra ulogu u privlačenju turista iz zemlje i inozemstva.</w:t>
      </w:r>
    </w:p>
    <w:p w14:paraId="4667F8C4" w14:textId="1DBF4129" w:rsidR="00F350F4" w:rsidRPr="0086186A" w:rsidRDefault="00F350F4" w:rsidP="00D8786F">
      <w:pPr>
        <w:pStyle w:val="BodyText"/>
        <w:ind w:left="170" w:right="135"/>
        <w:jc w:val="both"/>
        <w:rPr>
          <w:rFonts w:ascii="Times New Roman" w:hAnsi="Times New Roman" w:cs="Times New Roman"/>
          <w:sz w:val="20"/>
          <w:szCs w:val="20"/>
          <w:lang w:val="hr-HR"/>
        </w:rPr>
      </w:pPr>
    </w:p>
    <w:p w14:paraId="4D338016" w14:textId="1E9C3CC7" w:rsidR="00F350F4" w:rsidRPr="0086186A" w:rsidRDefault="00DF0F00"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S obzirom na broj turističkih noćenja na mađarskoj strani Međimurska županija rastuća je destinacija kontinentalnog turizma s visokim brojkama noćenja po glavi stanovnika, </w:t>
      </w:r>
      <w:r w:rsidR="00B02C58" w:rsidRPr="0086186A">
        <w:rPr>
          <w:rFonts w:ascii="Times New Roman" w:hAnsi="Times New Roman" w:cs="Times New Roman"/>
          <w:sz w:val="20"/>
          <w:szCs w:val="20"/>
          <w:lang w:val="hr-HR"/>
        </w:rPr>
        <w:t xml:space="preserve">a slijedi je Varaždinska županija. U apsolutnim brojkama </w:t>
      </w:r>
      <w:proofErr w:type="spellStart"/>
      <w:r w:rsidR="00B02C58" w:rsidRPr="0086186A">
        <w:rPr>
          <w:rFonts w:ascii="Times New Roman" w:hAnsi="Times New Roman" w:cs="Times New Roman"/>
          <w:sz w:val="20"/>
          <w:szCs w:val="20"/>
          <w:lang w:val="hr-HR"/>
        </w:rPr>
        <w:t>naposjećenija</w:t>
      </w:r>
      <w:proofErr w:type="spellEnd"/>
      <w:r w:rsidR="00B02C58" w:rsidRPr="0086186A">
        <w:rPr>
          <w:rFonts w:ascii="Times New Roman" w:hAnsi="Times New Roman" w:cs="Times New Roman"/>
          <w:sz w:val="20"/>
          <w:szCs w:val="20"/>
          <w:lang w:val="hr-HR"/>
        </w:rPr>
        <w:t xml:space="preserve"> je županija Osječko-baranjska, gdje je Baranja posebno poznata po svom seoskom turizmu i gastronomiji, </w:t>
      </w:r>
      <w:r w:rsidR="005C3E99" w:rsidRPr="0086186A">
        <w:rPr>
          <w:rFonts w:ascii="Times New Roman" w:hAnsi="Times New Roman" w:cs="Times New Roman"/>
          <w:sz w:val="20"/>
          <w:szCs w:val="20"/>
          <w:lang w:val="hr-HR"/>
        </w:rPr>
        <w:t>dok je Bjelovarsko-bilogorska županija poznata po turizmu temeljenom na toplicama u Daruvaru. U broju turističkih noćenja proces oporavka počeo je u 2011. i trajao do 2019., kad je pandemija COVID-19 pogodila pružatelje turističkih usluga i u pograničnom području.</w:t>
      </w:r>
    </w:p>
    <w:p w14:paraId="6AD46AF1" w14:textId="721798C8" w:rsidR="005C3E99" w:rsidRPr="0086186A" w:rsidRDefault="005C3E99" w:rsidP="00D8786F">
      <w:pPr>
        <w:pStyle w:val="BodyText"/>
        <w:ind w:left="170" w:right="135"/>
        <w:jc w:val="both"/>
        <w:rPr>
          <w:rFonts w:ascii="Times New Roman" w:hAnsi="Times New Roman" w:cs="Times New Roman"/>
          <w:sz w:val="20"/>
          <w:szCs w:val="20"/>
          <w:lang w:val="hr-HR"/>
        </w:rPr>
      </w:pPr>
    </w:p>
    <w:p w14:paraId="0E4D2CF7" w14:textId="2A3E52E8" w:rsidR="005C3E99" w:rsidRPr="0086186A" w:rsidRDefault="005C3E99"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Iako uže područje uz granicu pruža izvrsne uvjete za ekološki turizam i </w:t>
      </w:r>
      <w:r w:rsidR="00F84498" w:rsidRPr="0086186A">
        <w:rPr>
          <w:rFonts w:ascii="Times New Roman" w:hAnsi="Times New Roman" w:cs="Times New Roman"/>
          <w:sz w:val="20"/>
          <w:szCs w:val="20"/>
          <w:lang w:val="hr-HR"/>
        </w:rPr>
        <w:t>zajednički</w:t>
      </w:r>
      <w:r w:rsidRPr="0086186A">
        <w:rPr>
          <w:rFonts w:ascii="Times New Roman" w:hAnsi="Times New Roman" w:cs="Times New Roman"/>
          <w:sz w:val="20"/>
          <w:szCs w:val="20"/>
          <w:lang w:val="hr-HR"/>
        </w:rPr>
        <w:t xml:space="preserve"> razvoj proizvoda, kapaciteti i usluge nisu jednako razvijeni u svim dijelovima programskog područja. Stoga bi razvoja trebalo biti u područjima s manje razvijenim turističkim potencijalom, s fokusom na bogatu prirodnu i kulturnu baštinu, s ciljem razvoja uspješnog prekograničnog proizvoda s transnacionalnom vidljivošću, u skladu sa Strategijom EU-a za dunavsku regiju (</w:t>
      </w:r>
      <w:proofErr w:type="spellStart"/>
      <w:r w:rsidRPr="0086186A">
        <w:rPr>
          <w:rFonts w:ascii="Times New Roman" w:hAnsi="Times New Roman" w:cs="Times New Roman"/>
          <w:sz w:val="20"/>
          <w:szCs w:val="20"/>
          <w:lang w:val="hr-HR"/>
        </w:rPr>
        <w:t>EUSDR</w:t>
      </w:r>
      <w:proofErr w:type="spellEnd"/>
      <w:r w:rsidRPr="0086186A">
        <w:rPr>
          <w:rFonts w:ascii="Times New Roman" w:hAnsi="Times New Roman" w:cs="Times New Roman"/>
          <w:sz w:val="20"/>
          <w:szCs w:val="20"/>
          <w:lang w:val="hr-HR"/>
        </w:rPr>
        <w:t>).</w:t>
      </w:r>
    </w:p>
    <w:p w14:paraId="541CAFF6" w14:textId="6B9750CC" w:rsidR="005C3E99" w:rsidRPr="0086186A" w:rsidRDefault="005C3E99" w:rsidP="00D8786F">
      <w:pPr>
        <w:pStyle w:val="BodyText"/>
        <w:ind w:left="170" w:right="135"/>
        <w:jc w:val="both"/>
        <w:rPr>
          <w:rFonts w:ascii="Times New Roman" w:hAnsi="Times New Roman" w:cs="Times New Roman"/>
          <w:sz w:val="20"/>
          <w:szCs w:val="20"/>
          <w:lang w:val="hr-HR"/>
        </w:rPr>
      </w:pPr>
    </w:p>
    <w:p w14:paraId="2703998C" w14:textId="65F652BD" w:rsidR="005C3E99" w:rsidRPr="0086186A" w:rsidRDefault="005C3E99"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U prekograničnom području nalazi se nekoliko područja </w:t>
      </w:r>
      <w:r w:rsidRPr="0086186A">
        <w:rPr>
          <w:rFonts w:ascii="Times New Roman" w:hAnsi="Times New Roman" w:cs="Times New Roman"/>
          <w:i/>
          <w:iCs/>
          <w:sz w:val="20"/>
          <w:szCs w:val="20"/>
          <w:lang w:val="hr-HR"/>
        </w:rPr>
        <w:t>Natura 2000</w:t>
      </w:r>
      <w:r w:rsidRPr="0086186A">
        <w:rPr>
          <w:rFonts w:ascii="Times New Roman" w:hAnsi="Times New Roman" w:cs="Times New Roman"/>
          <w:sz w:val="20"/>
          <w:szCs w:val="20"/>
          <w:lang w:val="hr-HR"/>
        </w:rPr>
        <w:t xml:space="preserve">, koja su spojena unutar </w:t>
      </w:r>
      <w:r w:rsidR="00F9243A" w:rsidRPr="0086186A">
        <w:rPr>
          <w:rFonts w:ascii="Times New Roman" w:hAnsi="Times New Roman" w:cs="Times New Roman"/>
          <w:sz w:val="20"/>
          <w:szCs w:val="20"/>
          <w:lang w:val="hr-HR"/>
        </w:rPr>
        <w:t xml:space="preserve">Prekograničnog rezervata biosfere </w:t>
      </w:r>
      <w:r w:rsidRPr="0086186A">
        <w:rPr>
          <w:rFonts w:ascii="Times New Roman" w:hAnsi="Times New Roman" w:cs="Times New Roman"/>
          <w:sz w:val="20"/>
          <w:szCs w:val="20"/>
          <w:lang w:val="hr-HR"/>
        </w:rPr>
        <w:t>Mura-Drava-Duna</w:t>
      </w:r>
      <w:r w:rsidR="00F9243A" w:rsidRPr="0086186A">
        <w:rPr>
          <w:rFonts w:ascii="Times New Roman" w:hAnsi="Times New Roman" w:cs="Times New Roman"/>
          <w:sz w:val="20"/>
          <w:szCs w:val="20"/>
          <w:lang w:val="hr-HR"/>
        </w:rPr>
        <w:t xml:space="preserve">v, čiji se dijelovi protežu u Austriju, Sloveniju i Srbiju. Područja za planinarenje u Mađarskoj uključuju brda </w:t>
      </w:r>
      <w:proofErr w:type="spellStart"/>
      <w:r w:rsidR="00F9243A" w:rsidRPr="0086186A">
        <w:rPr>
          <w:rFonts w:ascii="Times New Roman" w:hAnsi="Times New Roman" w:cs="Times New Roman"/>
          <w:sz w:val="20"/>
          <w:szCs w:val="20"/>
          <w:lang w:val="hr-HR"/>
        </w:rPr>
        <w:t>Mecsek</w:t>
      </w:r>
      <w:proofErr w:type="spellEnd"/>
      <w:r w:rsidR="00F9243A" w:rsidRPr="0086186A">
        <w:rPr>
          <w:rFonts w:ascii="Times New Roman" w:hAnsi="Times New Roman" w:cs="Times New Roman"/>
          <w:sz w:val="20"/>
          <w:szCs w:val="20"/>
          <w:lang w:val="hr-HR"/>
        </w:rPr>
        <w:t xml:space="preserve">, područje </w:t>
      </w:r>
      <w:proofErr w:type="spellStart"/>
      <w:r w:rsidR="00F9243A" w:rsidRPr="0086186A">
        <w:rPr>
          <w:rFonts w:ascii="Times New Roman" w:hAnsi="Times New Roman" w:cs="Times New Roman"/>
          <w:sz w:val="20"/>
          <w:szCs w:val="20"/>
          <w:lang w:val="hr-HR"/>
        </w:rPr>
        <w:t>Siklós-Villány</w:t>
      </w:r>
      <w:proofErr w:type="spellEnd"/>
      <w:r w:rsidR="00F9243A" w:rsidRPr="0086186A">
        <w:rPr>
          <w:rFonts w:ascii="Times New Roman" w:hAnsi="Times New Roman" w:cs="Times New Roman"/>
          <w:sz w:val="20"/>
          <w:szCs w:val="20"/>
          <w:lang w:val="hr-HR"/>
        </w:rPr>
        <w:t xml:space="preserve">, šume </w:t>
      </w:r>
      <w:proofErr w:type="spellStart"/>
      <w:r w:rsidR="00F9243A" w:rsidRPr="0086186A">
        <w:rPr>
          <w:rFonts w:ascii="Times New Roman" w:hAnsi="Times New Roman" w:cs="Times New Roman"/>
          <w:sz w:val="20"/>
          <w:szCs w:val="20"/>
          <w:lang w:val="hr-HR"/>
        </w:rPr>
        <w:t>Somogyja</w:t>
      </w:r>
      <w:proofErr w:type="spellEnd"/>
      <w:r w:rsidR="00F9243A" w:rsidRPr="0086186A">
        <w:rPr>
          <w:rFonts w:ascii="Times New Roman" w:hAnsi="Times New Roman" w:cs="Times New Roman"/>
          <w:sz w:val="20"/>
          <w:szCs w:val="20"/>
          <w:lang w:val="hr-HR"/>
        </w:rPr>
        <w:t xml:space="preserve"> (</w:t>
      </w:r>
      <w:proofErr w:type="spellStart"/>
      <w:r w:rsidR="00F9243A" w:rsidRPr="0086186A">
        <w:rPr>
          <w:rFonts w:ascii="Times New Roman" w:hAnsi="Times New Roman" w:cs="Times New Roman"/>
          <w:sz w:val="20"/>
          <w:szCs w:val="20"/>
          <w:lang w:val="hr-HR"/>
        </w:rPr>
        <w:t>Zselic</w:t>
      </w:r>
      <w:proofErr w:type="spellEnd"/>
      <w:r w:rsidR="00F9243A" w:rsidRPr="0086186A">
        <w:rPr>
          <w:rFonts w:ascii="Times New Roman" w:hAnsi="Times New Roman" w:cs="Times New Roman"/>
          <w:sz w:val="20"/>
          <w:szCs w:val="20"/>
          <w:lang w:val="hr-HR"/>
        </w:rPr>
        <w:t xml:space="preserve">), Kis-Balaton i brda Zala. Na hrvatskoj su strani Kopački rit, Papuk, Ivanščica, Krndija, brda Bilogore, Kalnik, Spačvanski bazen, </w:t>
      </w:r>
      <w:proofErr w:type="spellStart"/>
      <w:r w:rsidR="00F9243A" w:rsidRPr="0086186A">
        <w:rPr>
          <w:rFonts w:ascii="Times New Roman" w:hAnsi="Times New Roman" w:cs="Times New Roman"/>
          <w:sz w:val="20"/>
          <w:szCs w:val="20"/>
          <w:lang w:val="hr-HR"/>
        </w:rPr>
        <w:t>Arboretum</w:t>
      </w:r>
      <w:proofErr w:type="spellEnd"/>
      <w:r w:rsidR="00F9243A" w:rsidRPr="0086186A">
        <w:rPr>
          <w:rFonts w:ascii="Times New Roman" w:hAnsi="Times New Roman" w:cs="Times New Roman"/>
          <w:sz w:val="20"/>
          <w:szCs w:val="20"/>
          <w:lang w:val="hr-HR"/>
        </w:rPr>
        <w:t xml:space="preserve"> Opeka i Međimurska prirodna područja sa značajnim turističkim potencijalom.</w:t>
      </w:r>
    </w:p>
    <w:p w14:paraId="35D11A8A" w14:textId="31F3FFF8" w:rsidR="00F9243A" w:rsidRPr="0086186A" w:rsidRDefault="00F9243A" w:rsidP="00D8786F">
      <w:pPr>
        <w:pStyle w:val="BodyText"/>
        <w:ind w:left="170" w:right="135"/>
        <w:jc w:val="both"/>
        <w:rPr>
          <w:rFonts w:ascii="Times New Roman" w:hAnsi="Times New Roman" w:cs="Times New Roman"/>
          <w:sz w:val="20"/>
          <w:szCs w:val="20"/>
          <w:lang w:val="hr-HR"/>
        </w:rPr>
      </w:pPr>
    </w:p>
    <w:p w14:paraId="78AF8CC8" w14:textId="1A694C61" w:rsidR="00F9243A" w:rsidRPr="0086186A" w:rsidRDefault="00F9243A" w:rsidP="00D8786F">
      <w:pPr>
        <w:pStyle w:val="BodyText"/>
        <w:ind w:left="170" w:right="135"/>
        <w:jc w:val="both"/>
        <w:rPr>
          <w:rFonts w:ascii="Times New Roman" w:hAnsi="Times New Roman" w:cs="Times New Roman"/>
          <w:i/>
          <w:iCs/>
          <w:sz w:val="20"/>
          <w:szCs w:val="20"/>
          <w:lang w:val="hr-HR"/>
        </w:rPr>
      </w:pPr>
      <w:r w:rsidRPr="0086186A">
        <w:rPr>
          <w:rFonts w:ascii="Times New Roman" w:hAnsi="Times New Roman" w:cs="Times New Roman"/>
          <w:i/>
          <w:iCs/>
          <w:sz w:val="20"/>
          <w:szCs w:val="20"/>
          <w:lang w:val="hr-HR"/>
        </w:rPr>
        <w:t>Okoliš i energetika</w:t>
      </w:r>
    </w:p>
    <w:p w14:paraId="54A3F6FC" w14:textId="314701E8" w:rsidR="00F9243A" w:rsidRPr="0086186A" w:rsidRDefault="00F9243A" w:rsidP="00D8786F">
      <w:pPr>
        <w:pStyle w:val="BodyText"/>
        <w:ind w:left="170" w:right="135"/>
        <w:jc w:val="both"/>
        <w:rPr>
          <w:rFonts w:ascii="Times New Roman" w:hAnsi="Times New Roman" w:cs="Times New Roman"/>
          <w:sz w:val="20"/>
          <w:szCs w:val="20"/>
          <w:lang w:val="hr-HR"/>
        </w:rPr>
      </w:pPr>
    </w:p>
    <w:p w14:paraId="0C20EB64" w14:textId="678F6756" w:rsidR="00F9243A" w:rsidRPr="0086186A" w:rsidRDefault="00F9243A"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Globalne klimatske promjene sve se više osjećaju u Europi i programskom području. Kako bi se izbjegli ozbiljni i nepovratni utjecaji klimatskih promjena, globalno </w:t>
      </w:r>
      <w:r w:rsidR="00F84498" w:rsidRPr="0086186A">
        <w:rPr>
          <w:rFonts w:ascii="Times New Roman" w:hAnsi="Times New Roman" w:cs="Times New Roman"/>
          <w:sz w:val="20"/>
          <w:szCs w:val="20"/>
          <w:lang w:val="hr-HR"/>
        </w:rPr>
        <w:t>zatopljivanje</w:t>
      </w:r>
      <w:r w:rsidRPr="0086186A">
        <w:rPr>
          <w:rFonts w:ascii="Times New Roman" w:hAnsi="Times New Roman" w:cs="Times New Roman"/>
          <w:sz w:val="20"/>
          <w:szCs w:val="20"/>
          <w:lang w:val="hr-HR"/>
        </w:rPr>
        <w:t xml:space="preserve"> mora se ograničiti na ispod 2 °C u usporedbi s predindustrijskom razinom. Stoga je EU 2021. usvojila Strategiju prilagodbe klimatskim promjenama, kojoj su slijedile nacionalne i regionalne strategije prilagodbe. Mađarska je usvojila svoju nacionalnu strategiju za razdoblje 2018. – 2023. s pogledom na 2050. U Hrvatskoj je usvojena Strategija prilagodbe klimatskim promjenama do 2040. s pogledom na 2070. U Mađarskoj su razvijene i županijske strategije. Klimatske promjene mogu dovesti do projicirane promjene temperature, promjene</w:t>
      </w:r>
      <w:r w:rsidR="004840C7" w:rsidRPr="0086186A">
        <w:rPr>
          <w:rFonts w:ascii="Times New Roman" w:hAnsi="Times New Roman" w:cs="Times New Roman"/>
          <w:sz w:val="20"/>
          <w:szCs w:val="20"/>
          <w:lang w:val="hr-HR"/>
        </w:rPr>
        <w:t xml:space="preserve"> rasporeda oborina. Posebno u državama Sredozemlja rizik od ljetnih suša može se povećati svugdje, dok oborine u drugim dijelovima godine mogu dovesti do plavnih bujica i plavljenja rijeka. Usporedno s time, klimatske promjene negativno utječu na biološku raznolikost te dovode do povećanog širenja i prisutnosti invazivnih vrsta. Svi ti fenomeni mogu imati ozbiljan učinak na izgrađeni okoliš, gusto naseljena područja, prirodne ekosustave i poljoprivrednu proizvodnju. Suradnja uspostavljena u okviru </w:t>
      </w:r>
      <w:proofErr w:type="spellStart"/>
      <w:r w:rsidR="004840C7" w:rsidRPr="0086186A">
        <w:rPr>
          <w:rFonts w:ascii="Times New Roman" w:hAnsi="Times New Roman" w:cs="Times New Roman"/>
          <w:sz w:val="20"/>
          <w:szCs w:val="20"/>
          <w:lang w:val="hr-HR"/>
        </w:rPr>
        <w:t>EUSDR</w:t>
      </w:r>
      <w:proofErr w:type="spellEnd"/>
      <w:r w:rsidR="004840C7" w:rsidRPr="0086186A">
        <w:rPr>
          <w:rFonts w:ascii="Times New Roman" w:hAnsi="Times New Roman" w:cs="Times New Roman"/>
          <w:sz w:val="20"/>
          <w:szCs w:val="20"/>
          <w:lang w:val="hr-HR"/>
        </w:rPr>
        <w:t>-a igra ključnu ulogu u koordinaciji mjera ublažavanja.</w:t>
      </w:r>
    </w:p>
    <w:p w14:paraId="54CDB127" w14:textId="7211FF9B" w:rsidR="004840C7" w:rsidRPr="0086186A" w:rsidRDefault="004840C7" w:rsidP="00D8786F">
      <w:pPr>
        <w:pStyle w:val="BodyText"/>
        <w:ind w:left="170" w:right="135"/>
        <w:jc w:val="both"/>
        <w:rPr>
          <w:rFonts w:ascii="Times New Roman" w:hAnsi="Times New Roman" w:cs="Times New Roman"/>
          <w:sz w:val="20"/>
          <w:szCs w:val="20"/>
          <w:lang w:val="hr-HR"/>
        </w:rPr>
      </w:pPr>
    </w:p>
    <w:p w14:paraId="3787C05D" w14:textId="478B7C5C" w:rsidR="004840C7" w:rsidRPr="0086186A" w:rsidRDefault="004840C7"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lastRenderedPageBreak/>
        <w:t>Pogranično područje Mađarske i Hrvatske obilježeno je ponešto povoljnim ekološkim uvjetima. Međutim, zbog globalnih ekoloških trendova i utjecaja klimatskih promjena potrebni su dodatni napori kako bi se osigurala zaštita ekoloških dobara na programskom području.</w:t>
      </w:r>
    </w:p>
    <w:p w14:paraId="4D2EB7BA" w14:textId="144B4067" w:rsidR="004840C7" w:rsidRPr="0086186A" w:rsidRDefault="004840C7" w:rsidP="00D8786F">
      <w:pPr>
        <w:pStyle w:val="BodyText"/>
        <w:ind w:left="170" w:right="135"/>
        <w:jc w:val="both"/>
        <w:rPr>
          <w:rFonts w:ascii="Times New Roman" w:hAnsi="Times New Roman" w:cs="Times New Roman"/>
          <w:sz w:val="20"/>
          <w:szCs w:val="20"/>
          <w:lang w:val="hr-HR"/>
        </w:rPr>
      </w:pPr>
    </w:p>
    <w:p w14:paraId="25F25D20" w14:textId="311C9F9D" w:rsidR="004840C7" w:rsidRPr="0086186A" w:rsidRDefault="004840C7"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Kvaliteta zraka općenito se smatra zadovoljavajućom na tom području, iako je područje Pečuha u </w:t>
      </w:r>
      <w:proofErr w:type="spellStart"/>
      <w:r w:rsidRPr="0086186A">
        <w:rPr>
          <w:rFonts w:ascii="Times New Roman" w:hAnsi="Times New Roman" w:cs="Times New Roman"/>
          <w:sz w:val="20"/>
          <w:szCs w:val="20"/>
          <w:lang w:val="hr-HR"/>
        </w:rPr>
        <w:t>Baranyji</w:t>
      </w:r>
      <w:proofErr w:type="spellEnd"/>
      <w:r w:rsidRPr="0086186A">
        <w:rPr>
          <w:rFonts w:ascii="Times New Roman" w:hAnsi="Times New Roman" w:cs="Times New Roman"/>
          <w:sz w:val="20"/>
          <w:szCs w:val="20"/>
          <w:lang w:val="hr-HR"/>
        </w:rPr>
        <w:t xml:space="preserve"> još uvijek iznad nacionalnog prosjeka onečišćenja. U Hrvatskoj je kvaliteta zraka uglavnom zadovoljavajuća, a veći gradovi pograničnog područja kao što je Osijek nisu zahvaćeni onečišćenjem u većim razmjerima.</w:t>
      </w:r>
    </w:p>
    <w:p w14:paraId="322421B4" w14:textId="2F2DBDCC" w:rsidR="004840C7" w:rsidRPr="0086186A" w:rsidRDefault="004840C7" w:rsidP="00D8786F">
      <w:pPr>
        <w:pStyle w:val="BodyText"/>
        <w:ind w:left="170" w:right="135"/>
        <w:jc w:val="both"/>
        <w:rPr>
          <w:rFonts w:ascii="Times New Roman" w:hAnsi="Times New Roman" w:cs="Times New Roman"/>
          <w:sz w:val="20"/>
          <w:szCs w:val="20"/>
          <w:lang w:val="hr-HR"/>
        </w:rPr>
      </w:pPr>
    </w:p>
    <w:p w14:paraId="08D718EC" w14:textId="6876A3DD" w:rsidR="004840C7" w:rsidRPr="0086186A" w:rsidRDefault="004840C7"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Pogranično područje obilježeno je uglavnom trima vodnim sustavima koji su koncentrirani kod Dunava na istočnoj strani, kod Drave i Mure </w:t>
      </w:r>
      <w:r w:rsidR="00284CCF" w:rsidRPr="0086186A">
        <w:rPr>
          <w:rFonts w:ascii="Times New Roman" w:hAnsi="Times New Roman" w:cs="Times New Roman"/>
          <w:sz w:val="20"/>
          <w:szCs w:val="20"/>
          <w:lang w:val="hr-HR"/>
        </w:rPr>
        <w:t xml:space="preserve">duž granice i kod Balatonskog jezera na sjeveru </w:t>
      </w:r>
      <w:proofErr w:type="spellStart"/>
      <w:r w:rsidR="00284CCF" w:rsidRPr="0086186A">
        <w:rPr>
          <w:rFonts w:ascii="Times New Roman" w:hAnsi="Times New Roman" w:cs="Times New Roman"/>
          <w:sz w:val="20"/>
          <w:szCs w:val="20"/>
          <w:lang w:val="hr-HR"/>
        </w:rPr>
        <w:t>Somogyja</w:t>
      </w:r>
      <w:proofErr w:type="spellEnd"/>
      <w:r w:rsidR="00284CCF" w:rsidRPr="0086186A">
        <w:rPr>
          <w:rFonts w:ascii="Times New Roman" w:hAnsi="Times New Roman" w:cs="Times New Roman"/>
          <w:sz w:val="20"/>
          <w:szCs w:val="20"/>
          <w:lang w:val="hr-HR"/>
        </w:rPr>
        <w:t xml:space="preserve"> i </w:t>
      </w:r>
      <w:proofErr w:type="spellStart"/>
      <w:r w:rsidR="00284CCF" w:rsidRPr="0086186A">
        <w:rPr>
          <w:rFonts w:ascii="Times New Roman" w:hAnsi="Times New Roman" w:cs="Times New Roman"/>
          <w:sz w:val="20"/>
          <w:szCs w:val="20"/>
          <w:lang w:val="hr-HR"/>
        </w:rPr>
        <w:t>Zale</w:t>
      </w:r>
      <w:proofErr w:type="spellEnd"/>
      <w:r w:rsidR="00284CCF" w:rsidRPr="0086186A">
        <w:rPr>
          <w:rFonts w:ascii="Times New Roman" w:hAnsi="Times New Roman" w:cs="Times New Roman"/>
          <w:sz w:val="20"/>
          <w:szCs w:val="20"/>
          <w:lang w:val="hr-HR"/>
        </w:rPr>
        <w:t xml:space="preserve">. U većinu tih sustava je </w:t>
      </w:r>
      <w:proofErr w:type="spellStart"/>
      <w:r w:rsidR="00284CCF" w:rsidRPr="0086186A">
        <w:rPr>
          <w:rFonts w:ascii="Times New Roman" w:hAnsi="Times New Roman" w:cs="Times New Roman"/>
          <w:sz w:val="20"/>
          <w:szCs w:val="20"/>
          <w:lang w:val="hr-HR"/>
        </w:rPr>
        <w:t>intervenirano</w:t>
      </w:r>
      <w:proofErr w:type="spellEnd"/>
      <w:r w:rsidR="00284CCF" w:rsidRPr="0086186A">
        <w:rPr>
          <w:rFonts w:ascii="Times New Roman" w:hAnsi="Times New Roman" w:cs="Times New Roman"/>
          <w:sz w:val="20"/>
          <w:szCs w:val="20"/>
          <w:lang w:val="hr-HR"/>
        </w:rPr>
        <w:t>, no nedavno su uloženi veliki napori kako bi se obnovili i očuvali prirodni riječni bazeni, kao i kako bi se rehabilitirali karakter i prirodno okruženje. Sva tri vodna sustava pate od velike promjenjivosti vodenog toka. Drava čini granicu između Mađarske i Hrvatske duž 145 km. Niži tok Mure i Drave čine 380 km relativno prirodnog i slobodnog vodenog toka. Poplave su još jedna prijetnja, posebno oko Mure i Drave, gdje nisu dostupna mjesta prirodnog zadržavanja vode. Zbog visokih oborina kod gornjeg bazena Drave, rijeka je u gornjem toku podložna visokom riziku od poplava. Duž nižeg toka u Prirodnom parku Kopački rit često dolazi do dugotrajnih poplava koje se zadržavaju oko 100 dana ili dulje.</w:t>
      </w:r>
    </w:p>
    <w:p w14:paraId="2A795437" w14:textId="0BA09049" w:rsidR="00284CCF" w:rsidRPr="0086186A" w:rsidRDefault="00284CCF" w:rsidP="00D8786F">
      <w:pPr>
        <w:pStyle w:val="BodyText"/>
        <w:ind w:left="170" w:right="135"/>
        <w:jc w:val="both"/>
        <w:rPr>
          <w:rFonts w:ascii="Times New Roman" w:hAnsi="Times New Roman" w:cs="Times New Roman"/>
          <w:sz w:val="20"/>
          <w:szCs w:val="20"/>
          <w:lang w:val="hr-HR"/>
        </w:rPr>
      </w:pPr>
    </w:p>
    <w:p w14:paraId="29CBECE1" w14:textId="44C8C131" w:rsidR="00284CCF" w:rsidRPr="0086186A" w:rsidRDefault="00284CCF"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Šume na tom području predstavljaju dobro ne samo za turizam, već i za drvnu industriju i proizvodnju energije iz biomase. Županije unutar pograničnog područja dobro su pošumljene, posebno županije Zala, </w:t>
      </w:r>
      <w:proofErr w:type="spellStart"/>
      <w:r w:rsidRPr="0086186A">
        <w:rPr>
          <w:rFonts w:ascii="Times New Roman" w:hAnsi="Times New Roman" w:cs="Times New Roman"/>
          <w:sz w:val="20"/>
          <w:szCs w:val="20"/>
          <w:lang w:val="hr-HR"/>
        </w:rPr>
        <w:t>Somogy</w:t>
      </w:r>
      <w:proofErr w:type="spellEnd"/>
      <w:r w:rsidRPr="0086186A">
        <w:rPr>
          <w:rFonts w:ascii="Times New Roman" w:hAnsi="Times New Roman" w:cs="Times New Roman"/>
          <w:sz w:val="20"/>
          <w:szCs w:val="20"/>
          <w:lang w:val="hr-HR"/>
        </w:rPr>
        <w:t>, Virovitičko-podravska, Koprivničko-križevačka i Vukovarsko-srijemska.</w:t>
      </w:r>
    </w:p>
    <w:p w14:paraId="64A83DB4" w14:textId="2554187B" w:rsidR="00284CCF" w:rsidRPr="0086186A" w:rsidRDefault="00284CCF" w:rsidP="00D8786F">
      <w:pPr>
        <w:pStyle w:val="BodyText"/>
        <w:ind w:left="170" w:right="135"/>
        <w:jc w:val="both"/>
        <w:rPr>
          <w:rFonts w:ascii="Times New Roman" w:hAnsi="Times New Roman" w:cs="Times New Roman"/>
          <w:sz w:val="20"/>
          <w:szCs w:val="20"/>
          <w:lang w:val="hr-HR"/>
        </w:rPr>
      </w:pPr>
    </w:p>
    <w:p w14:paraId="263BE45A" w14:textId="03F1251C" w:rsidR="00284CCF" w:rsidRPr="0086186A" w:rsidRDefault="002B6F3E"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Prekogranični rezervat biosfere Mura-Drava-Dunav koji je zaštitio UNESCO proteže se duž navedenih rijeka. U okviru Dunavskog transnacionalnog programa financirano je nekoliko projekata na tom području, koji imaju potencijal kapitalizacije u prekograničnoj suradnji.</w:t>
      </w:r>
    </w:p>
    <w:p w14:paraId="552966D5" w14:textId="305AD40B" w:rsidR="002B6F3E" w:rsidRPr="0086186A" w:rsidRDefault="002B6F3E" w:rsidP="00D8786F">
      <w:pPr>
        <w:pStyle w:val="BodyText"/>
        <w:ind w:left="170" w:right="135"/>
        <w:jc w:val="both"/>
        <w:rPr>
          <w:rFonts w:ascii="Times New Roman" w:hAnsi="Times New Roman" w:cs="Times New Roman"/>
          <w:sz w:val="20"/>
          <w:szCs w:val="20"/>
          <w:lang w:val="hr-HR"/>
        </w:rPr>
      </w:pPr>
    </w:p>
    <w:p w14:paraId="27857B98" w14:textId="079C3F51" w:rsidR="002B6F3E" w:rsidRPr="0086186A" w:rsidRDefault="002B6F3E"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Kako je navedeno u Ažuriranom izvješću o kružnom gospodarstvu iz 2019., Mađarska planira integrirati načela kružnoga gospodarstva u tekuću strategiju gospodarskog razvoja, no opća svijest o konceptu i važnosti kružnoga gospodarstva gotovo je nepostojeća. U Hrvatskoj se uvođenje načela kružnoga gospodarstva suočava s preprekama u pogledu gospodarenja otpadom. Što se tiče dodane vrijednosti koju ostvaruje kružno gospodarstvo, u usporedbi s europskim prosjekom od 1% BDP-a u Mađarskoj je ona 0,98%, a u Hrvatskom 1,27%.</w:t>
      </w:r>
    </w:p>
    <w:p w14:paraId="1035C4EB" w14:textId="79D03193" w:rsidR="002B6F3E" w:rsidRPr="0086186A" w:rsidRDefault="002B6F3E" w:rsidP="00D8786F">
      <w:pPr>
        <w:pStyle w:val="BodyText"/>
        <w:ind w:left="170" w:right="135"/>
        <w:jc w:val="both"/>
        <w:rPr>
          <w:rFonts w:ascii="Times New Roman" w:hAnsi="Times New Roman" w:cs="Times New Roman"/>
          <w:sz w:val="20"/>
          <w:szCs w:val="20"/>
          <w:lang w:val="hr-HR"/>
        </w:rPr>
      </w:pPr>
    </w:p>
    <w:p w14:paraId="430ADC2C" w14:textId="5033993C" w:rsidR="002B6F3E" w:rsidRPr="0086186A" w:rsidRDefault="002B6F3E"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Mađarska strana pograničnog područja ima gotovo 100%</w:t>
      </w:r>
      <w:r w:rsidR="00F84498">
        <w:rPr>
          <w:rFonts w:ascii="Times New Roman" w:hAnsi="Times New Roman" w:cs="Times New Roman"/>
          <w:sz w:val="20"/>
          <w:szCs w:val="20"/>
          <w:lang w:val="hr-HR"/>
        </w:rPr>
        <w:t>-</w:t>
      </w:r>
      <w:proofErr w:type="spellStart"/>
      <w:r w:rsidR="00F84498">
        <w:rPr>
          <w:rFonts w:ascii="Times New Roman" w:hAnsi="Times New Roman" w:cs="Times New Roman"/>
          <w:sz w:val="20"/>
          <w:szCs w:val="20"/>
          <w:lang w:val="hr-HR"/>
        </w:rPr>
        <w:t>tnu</w:t>
      </w:r>
      <w:proofErr w:type="spellEnd"/>
      <w:r w:rsidRPr="0086186A">
        <w:rPr>
          <w:rFonts w:ascii="Times New Roman" w:hAnsi="Times New Roman" w:cs="Times New Roman"/>
          <w:sz w:val="20"/>
          <w:szCs w:val="20"/>
          <w:lang w:val="hr-HR"/>
        </w:rPr>
        <w:t xml:space="preserve"> razin</w:t>
      </w:r>
      <w:r w:rsidR="00F84498">
        <w:rPr>
          <w:rFonts w:ascii="Times New Roman" w:hAnsi="Times New Roman" w:cs="Times New Roman"/>
          <w:sz w:val="20"/>
          <w:szCs w:val="20"/>
          <w:lang w:val="hr-HR"/>
        </w:rPr>
        <w:t>u</w:t>
      </w:r>
      <w:r w:rsidRPr="0086186A">
        <w:rPr>
          <w:rFonts w:ascii="Times New Roman" w:hAnsi="Times New Roman" w:cs="Times New Roman"/>
          <w:sz w:val="20"/>
          <w:szCs w:val="20"/>
          <w:lang w:val="hr-HR"/>
        </w:rPr>
        <w:t xml:space="preserve"> pristupa javnoj vodoopskrbi, no „komunalni jaz“ ostaje neriješen problem.</w:t>
      </w:r>
      <w:r w:rsidR="00D40D67" w:rsidRPr="0086186A">
        <w:rPr>
          <w:rFonts w:ascii="Times New Roman" w:hAnsi="Times New Roman" w:cs="Times New Roman"/>
          <w:sz w:val="20"/>
          <w:szCs w:val="20"/>
          <w:lang w:val="hr-HR"/>
        </w:rPr>
        <w:t xml:space="preserve"> Prisutnost vode </w:t>
      </w:r>
      <w:r w:rsidR="001A4580" w:rsidRPr="0086186A">
        <w:rPr>
          <w:rFonts w:ascii="Times New Roman" w:hAnsi="Times New Roman" w:cs="Times New Roman"/>
          <w:sz w:val="20"/>
          <w:szCs w:val="20"/>
          <w:lang w:val="hr-HR"/>
        </w:rPr>
        <w:t xml:space="preserve">obrađene u trećerazrednim sustavima obrade otpadnih voda značajno se razlikuje u programskom području. Razina spojenosti stanovništva na vodoopskrbni sustav u Hrvatskoj </w:t>
      </w:r>
      <w:proofErr w:type="spellStart"/>
      <w:r w:rsidR="001A4580" w:rsidRPr="0086186A">
        <w:rPr>
          <w:rFonts w:ascii="Times New Roman" w:hAnsi="Times New Roman" w:cs="Times New Roman"/>
          <w:sz w:val="20"/>
          <w:szCs w:val="20"/>
          <w:lang w:val="hr-HR"/>
        </w:rPr>
        <w:t>zadovoljavajuć</w:t>
      </w:r>
      <w:proofErr w:type="spellEnd"/>
      <w:r w:rsidR="001A4580" w:rsidRPr="0086186A">
        <w:rPr>
          <w:rFonts w:ascii="Times New Roman" w:hAnsi="Times New Roman" w:cs="Times New Roman"/>
          <w:sz w:val="20"/>
          <w:szCs w:val="20"/>
          <w:lang w:val="hr-HR"/>
        </w:rPr>
        <w:t xml:space="preserve"> je (86 – 94% stanovništva). Međutim, razina spojenosti na trećerazredni kanalizacijski sustav nije zadovoljavajuća. Postotak ljudi koji su spojeni na infrastrukturu za otpadne vode jest 53%., dok 56% ima mogućnost spojiti se na infrastrukturu za otpadne vode. Hrvatska je u pregovorima postigla prijelazno razdoblje za usklađivanje s direktivama o sustavima vodoopskrbe i odvodnje do 2023.</w:t>
      </w:r>
    </w:p>
    <w:p w14:paraId="4C295437" w14:textId="68909DEA" w:rsidR="001A4580" w:rsidRPr="0086186A" w:rsidRDefault="001A4580" w:rsidP="00D8786F">
      <w:pPr>
        <w:pStyle w:val="BodyText"/>
        <w:ind w:left="170" w:right="135"/>
        <w:jc w:val="both"/>
        <w:rPr>
          <w:rFonts w:ascii="Times New Roman" w:hAnsi="Times New Roman" w:cs="Times New Roman"/>
          <w:sz w:val="20"/>
          <w:szCs w:val="20"/>
          <w:lang w:val="hr-HR"/>
        </w:rPr>
      </w:pPr>
    </w:p>
    <w:p w14:paraId="0F071558" w14:textId="146CA8EA" w:rsidR="001A4580" w:rsidRPr="0086186A" w:rsidRDefault="00F84498"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Posljednjih</w:t>
      </w:r>
      <w:r w:rsidR="001A4580" w:rsidRPr="0086186A">
        <w:rPr>
          <w:rFonts w:ascii="Times New Roman" w:hAnsi="Times New Roman" w:cs="Times New Roman"/>
          <w:sz w:val="20"/>
          <w:szCs w:val="20"/>
          <w:lang w:val="hr-HR"/>
        </w:rPr>
        <w:t xml:space="preserve"> je godina opažena blag, ali ne i postojan pad proizvodnje krutog otpada. Međutim, udio recikliranog otpada je nizak (prosječno 23% – najniži u Zali, a oko 40 – 45% u </w:t>
      </w:r>
      <w:proofErr w:type="spellStart"/>
      <w:r w:rsidR="001A4580" w:rsidRPr="0086186A">
        <w:rPr>
          <w:rFonts w:ascii="Times New Roman" w:hAnsi="Times New Roman" w:cs="Times New Roman"/>
          <w:sz w:val="20"/>
          <w:szCs w:val="20"/>
          <w:lang w:val="hr-HR"/>
        </w:rPr>
        <w:t>Somogyju</w:t>
      </w:r>
      <w:proofErr w:type="spellEnd"/>
      <w:r w:rsidR="001A4580" w:rsidRPr="0086186A">
        <w:rPr>
          <w:rFonts w:ascii="Times New Roman" w:hAnsi="Times New Roman" w:cs="Times New Roman"/>
          <w:sz w:val="20"/>
          <w:szCs w:val="20"/>
          <w:lang w:val="hr-HR"/>
        </w:rPr>
        <w:t xml:space="preserve"> i </w:t>
      </w:r>
      <w:proofErr w:type="spellStart"/>
      <w:r w:rsidR="001A4580" w:rsidRPr="0086186A">
        <w:rPr>
          <w:rFonts w:ascii="Times New Roman" w:hAnsi="Times New Roman" w:cs="Times New Roman"/>
          <w:sz w:val="20"/>
          <w:szCs w:val="20"/>
          <w:lang w:val="hr-HR"/>
        </w:rPr>
        <w:t>Baranyji</w:t>
      </w:r>
      <w:proofErr w:type="spellEnd"/>
      <w:r w:rsidR="001A4580" w:rsidRPr="0086186A">
        <w:rPr>
          <w:rFonts w:ascii="Times New Roman" w:hAnsi="Times New Roman" w:cs="Times New Roman"/>
          <w:sz w:val="20"/>
          <w:szCs w:val="20"/>
          <w:lang w:val="hr-HR"/>
        </w:rPr>
        <w:t>).</w:t>
      </w:r>
      <w:r w:rsidR="00007F93" w:rsidRPr="0086186A">
        <w:rPr>
          <w:rFonts w:ascii="Times New Roman" w:hAnsi="Times New Roman" w:cs="Times New Roman"/>
          <w:sz w:val="20"/>
          <w:szCs w:val="20"/>
          <w:lang w:val="hr-HR"/>
        </w:rPr>
        <w:t xml:space="preserve"> Udio spaljenog otpada minimalan je. Razvoj sustava gospodarenja otpadom doprinijet će višem udjelu recikliranja i proizvodnje energije u budućnosti. U Hrvatskoj su Koprivničko-križevačka županija, Međimurska županija i Varaždinska županija (plus Krapinsko-zagorska županija) zajednički uspostavile regionalni centar za gospodarenje otpadom, dok druge županije još nisu uspostavile takve centre. Razlike među pojedinačnim županijama ogromne su: Međimurska županija najnaprednija je u Hrvatskoj po odvajanju otpada (25,8%), dok je Vukovarsko-srijemska županija među najmanje razvijenima (samo 3,1% zasebno prikupljenog otpada). Hrvatska nije ispunila cilj 50% recikliranog otpada do 2020. i potrebni su dodatni napori u idućem razdoblju.</w:t>
      </w:r>
    </w:p>
    <w:p w14:paraId="2DF65FC6" w14:textId="5FC4F31D" w:rsidR="00007F93" w:rsidRPr="0086186A" w:rsidRDefault="00007F93" w:rsidP="00D8786F">
      <w:pPr>
        <w:pStyle w:val="BodyText"/>
        <w:ind w:left="170" w:right="135"/>
        <w:jc w:val="both"/>
        <w:rPr>
          <w:rFonts w:ascii="Times New Roman" w:hAnsi="Times New Roman" w:cs="Times New Roman"/>
          <w:sz w:val="20"/>
          <w:szCs w:val="20"/>
          <w:lang w:val="hr-HR"/>
        </w:rPr>
      </w:pPr>
    </w:p>
    <w:p w14:paraId="21AF849E" w14:textId="690E7573" w:rsidR="00007F93" w:rsidRPr="0086186A" w:rsidRDefault="00007F93"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Ukupna potrošnja energije smanjivala se do 2014., a zatim porasla do 2018. U posljednjih 10 godina potrošnja energije u kućanstvima pokazala je snažan rast, od 16% do 35% ukupne potrošnje energije, i odgovorna je za najviši udio u obje države. Većina zgrada ne udovoljava tehničkim propisima za energetsku učinkovitost zgrada.</w:t>
      </w:r>
    </w:p>
    <w:p w14:paraId="6ABCAE4B" w14:textId="63775434" w:rsidR="00007F93" w:rsidRPr="0086186A" w:rsidRDefault="00007F93" w:rsidP="00D8786F">
      <w:pPr>
        <w:pStyle w:val="BodyText"/>
        <w:ind w:left="170" w:right="135"/>
        <w:jc w:val="both"/>
        <w:rPr>
          <w:rFonts w:ascii="Times New Roman" w:hAnsi="Times New Roman" w:cs="Times New Roman"/>
          <w:sz w:val="20"/>
          <w:szCs w:val="20"/>
          <w:lang w:val="hr-HR"/>
        </w:rPr>
      </w:pPr>
    </w:p>
    <w:p w14:paraId="73E62A60" w14:textId="17BF3A12" w:rsidR="00007F93" w:rsidRPr="0086186A" w:rsidRDefault="00007F93"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Većina zgrada ne udovoljava tehničkim propisima, stoga je energetska učinkovitost, koja znači omogućavanje minimalne potrošnje energije za optimalnu udobnost življenja i uporabe zgrade, vrlo važna.</w:t>
      </w:r>
    </w:p>
    <w:p w14:paraId="1E2382BB" w14:textId="535B10A1" w:rsidR="00007F93" w:rsidRPr="0086186A" w:rsidRDefault="00007F93" w:rsidP="00D8786F">
      <w:pPr>
        <w:pStyle w:val="BodyText"/>
        <w:ind w:left="170" w:right="135"/>
        <w:jc w:val="both"/>
        <w:rPr>
          <w:rFonts w:ascii="Times New Roman" w:hAnsi="Times New Roman" w:cs="Times New Roman"/>
          <w:sz w:val="20"/>
          <w:szCs w:val="20"/>
          <w:lang w:val="hr-HR"/>
        </w:rPr>
      </w:pPr>
    </w:p>
    <w:p w14:paraId="6799E261" w14:textId="15FC7FDC" w:rsidR="00007F93" w:rsidRPr="0086186A" w:rsidRDefault="00A320E4"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Opaža se velika energetska ovisnost o fosilnim gorivima, posebno nafti i prirodnom plinu, a u obje države 80% </w:t>
      </w:r>
      <w:r w:rsidRPr="0086186A">
        <w:rPr>
          <w:rFonts w:ascii="Times New Roman" w:hAnsi="Times New Roman" w:cs="Times New Roman"/>
          <w:sz w:val="20"/>
          <w:szCs w:val="20"/>
          <w:lang w:val="hr-HR"/>
        </w:rPr>
        <w:lastRenderedPageBreak/>
        <w:t>dolazi iz uvoza. Preko dvije trećine ukupne opskrbe energijom temelji se na fosilnim izvorima energije u obje države. Udio obnovljivih izvora energije viši je u Hrvatskoj – 22%.</w:t>
      </w:r>
    </w:p>
    <w:p w14:paraId="12C1C808" w14:textId="2F239BB8" w:rsidR="00A320E4" w:rsidRPr="0086186A" w:rsidRDefault="00A320E4" w:rsidP="00D8786F">
      <w:pPr>
        <w:pStyle w:val="BodyText"/>
        <w:ind w:left="170" w:right="135"/>
        <w:jc w:val="both"/>
        <w:rPr>
          <w:rFonts w:ascii="Times New Roman" w:hAnsi="Times New Roman" w:cs="Times New Roman"/>
          <w:sz w:val="20"/>
          <w:szCs w:val="20"/>
          <w:lang w:val="hr-HR"/>
        </w:rPr>
      </w:pPr>
    </w:p>
    <w:p w14:paraId="0419C042" w14:textId="628C5B4B" w:rsidR="00A320E4" w:rsidRPr="0086186A" w:rsidRDefault="00A320E4"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S obzirom na obnovljive izvore energije, relativno visoka pošumljenost pograničnog područja predstavlja znatan potencijal za energiju iz biomase. To doprinosi činjenici da velika većina obnovljivih izvora energije dolazi od krutih biogoriva (80% u Mađarskoj, 66% u Hrvatskoj), uglavnom drva za ogrjev, a njegov udio nije se promijenio u posljednjih 10 godina.</w:t>
      </w:r>
    </w:p>
    <w:p w14:paraId="3D973419" w14:textId="6CB6737A" w:rsidR="00A320E4" w:rsidRPr="0086186A" w:rsidRDefault="00A320E4" w:rsidP="00D8786F">
      <w:pPr>
        <w:pStyle w:val="BodyText"/>
        <w:ind w:left="170" w:right="135"/>
        <w:jc w:val="both"/>
        <w:rPr>
          <w:rFonts w:ascii="Times New Roman" w:hAnsi="Times New Roman" w:cs="Times New Roman"/>
          <w:sz w:val="20"/>
          <w:szCs w:val="20"/>
          <w:lang w:val="hr-HR"/>
        </w:rPr>
      </w:pPr>
    </w:p>
    <w:p w14:paraId="2E790BB4" w14:textId="0EC37681" w:rsidR="00A320E4" w:rsidRPr="0086186A" w:rsidRDefault="007866A6"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U Hrvatskoj hidroenergija igra važnu ulogu u proizvodnji električne energije i čini 24% ukupne proizvodnje energije. U pograničnom području rijeke Mura i Drava nose važan hidroenergetski potencijal. Na rijeci Dravi rade tri hidroelektrane u Hrvatskoj – u Varaždinu, Čakovcu i Donjoj Dubravi. Izgradnja daljnjih hidroelektrana nije uključena u regionalne strateške razvojne planove na Hrvatskoj strani. Prekogranično područje obilježeno je visokim potencijalom iskorištavanja solarne energije. Potencijal je visok zbog velikog broja sunčanih dana kroz godinu, što je </w:t>
      </w:r>
      <w:r w:rsidR="00F84498" w:rsidRPr="0086186A">
        <w:rPr>
          <w:rFonts w:ascii="Times New Roman" w:hAnsi="Times New Roman" w:cs="Times New Roman"/>
          <w:sz w:val="20"/>
          <w:szCs w:val="20"/>
          <w:lang w:val="hr-HR"/>
        </w:rPr>
        <w:t>najizraženije</w:t>
      </w:r>
      <w:r w:rsidRPr="0086186A">
        <w:rPr>
          <w:rFonts w:ascii="Times New Roman" w:hAnsi="Times New Roman" w:cs="Times New Roman"/>
          <w:sz w:val="20"/>
          <w:szCs w:val="20"/>
          <w:lang w:val="hr-HR"/>
        </w:rPr>
        <w:t xml:space="preserve"> u </w:t>
      </w:r>
      <w:proofErr w:type="spellStart"/>
      <w:r w:rsidRPr="0086186A">
        <w:rPr>
          <w:rFonts w:ascii="Times New Roman" w:hAnsi="Times New Roman" w:cs="Times New Roman"/>
          <w:sz w:val="20"/>
          <w:szCs w:val="20"/>
          <w:lang w:val="hr-HR"/>
        </w:rPr>
        <w:t>Baranyji</w:t>
      </w:r>
      <w:proofErr w:type="spellEnd"/>
      <w:r w:rsidRPr="0086186A">
        <w:rPr>
          <w:rFonts w:ascii="Times New Roman" w:hAnsi="Times New Roman" w:cs="Times New Roman"/>
          <w:sz w:val="20"/>
          <w:szCs w:val="20"/>
          <w:lang w:val="hr-HR"/>
        </w:rPr>
        <w:t xml:space="preserve"> i Osječko-baranjskoj županiji.</w:t>
      </w:r>
    </w:p>
    <w:p w14:paraId="00E84B67" w14:textId="6AA15454" w:rsidR="007866A6" w:rsidRPr="0086186A" w:rsidRDefault="007866A6" w:rsidP="00D8786F">
      <w:pPr>
        <w:pStyle w:val="BodyText"/>
        <w:ind w:left="170" w:right="135"/>
        <w:jc w:val="both"/>
        <w:rPr>
          <w:rFonts w:ascii="Times New Roman" w:hAnsi="Times New Roman" w:cs="Times New Roman"/>
          <w:sz w:val="20"/>
          <w:szCs w:val="20"/>
          <w:lang w:val="hr-HR"/>
        </w:rPr>
      </w:pPr>
    </w:p>
    <w:p w14:paraId="4A2D1746" w14:textId="29C403C6" w:rsidR="007866A6" w:rsidRPr="0086186A" w:rsidRDefault="007866A6"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Postoji velik potencijal za geotermalnu energiju zbog prirodnih resursa. Dijelovi </w:t>
      </w:r>
      <w:proofErr w:type="spellStart"/>
      <w:r w:rsidRPr="0086186A">
        <w:rPr>
          <w:rFonts w:ascii="Times New Roman" w:hAnsi="Times New Roman" w:cs="Times New Roman"/>
          <w:sz w:val="20"/>
          <w:szCs w:val="20"/>
          <w:lang w:val="hr-HR"/>
        </w:rPr>
        <w:t>Somogyja</w:t>
      </w:r>
      <w:proofErr w:type="spellEnd"/>
      <w:r w:rsidRPr="0086186A">
        <w:rPr>
          <w:rFonts w:ascii="Times New Roman" w:hAnsi="Times New Roman" w:cs="Times New Roman"/>
          <w:sz w:val="20"/>
          <w:szCs w:val="20"/>
          <w:lang w:val="hr-HR"/>
        </w:rPr>
        <w:t xml:space="preserve"> i </w:t>
      </w:r>
      <w:proofErr w:type="spellStart"/>
      <w:r w:rsidRPr="0086186A">
        <w:rPr>
          <w:rFonts w:ascii="Times New Roman" w:hAnsi="Times New Roman" w:cs="Times New Roman"/>
          <w:sz w:val="20"/>
          <w:szCs w:val="20"/>
          <w:lang w:val="hr-HR"/>
        </w:rPr>
        <w:t>Zale</w:t>
      </w:r>
      <w:proofErr w:type="spellEnd"/>
      <w:r w:rsidRPr="0086186A">
        <w:rPr>
          <w:rFonts w:ascii="Times New Roman" w:hAnsi="Times New Roman" w:cs="Times New Roman"/>
          <w:sz w:val="20"/>
          <w:szCs w:val="20"/>
          <w:lang w:val="hr-HR"/>
        </w:rPr>
        <w:t xml:space="preserve">, kao i sjeverni dio državnog područja </w:t>
      </w:r>
      <w:r w:rsidR="00F84498" w:rsidRPr="0086186A">
        <w:rPr>
          <w:rFonts w:ascii="Times New Roman" w:hAnsi="Times New Roman" w:cs="Times New Roman"/>
          <w:sz w:val="20"/>
          <w:szCs w:val="20"/>
          <w:lang w:val="hr-HR"/>
        </w:rPr>
        <w:t>Hrvatske</w:t>
      </w:r>
      <w:r w:rsidRPr="0086186A">
        <w:rPr>
          <w:rFonts w:ascii="Times New Roman" w:hAnsi="Times New Roman" w:cs="Times New Roman"/>
          <w:sz w:val="20"/>
          <w:szCs w:val="20"/>
          <w:lang w:val="hr-HR"/>
        </w:rPr>
        <w:t>, leži u gornjem Panonskom bazenu, gdje podzemne vode imaju geotermalni gradijent između 5 i 7 °C na 100 m.</w:t>
      </w:r>
      <w:r w:rsidR="007A34AB" w:rsidRPr="0086186A">
        <w:rPr>
          <w:rFonts w:ascii="Times New Roman" w:hAnsi="Times New Roman" w:cs="Times New Roman"/>
          <w:sz w:val="20"/>
          <w:szCs w:val="20"/>
          <w:lang w:val="hr-HR"/>
        </w:rPr>
        <w:t xml:space="preserve"> Taj sloj termalnih voda nalazi se relativno plitko pa se geotermalna energija iz tih izvora može iskorištavati povoljno. Kroz transnacionalne projekte (</w:t>
      </w:r>
      <w:proofErr w:type="spellStart"/>
      <w:r w:rsidR="007A34AB" w:rsidRPr="0086186A">
        <w:rPr>
          <w:rFonts w:ascii="Times New Roman" w:hAnsi="Times New Roman" w:cs="Times New Roman"/>
          <w:sz w:val="20"/>
          <w:szCs w:val="20"/>
          <w:lang w:val="hr-HR"/>
        </w:rPr>
        <w:t>Interreg</w:t>
      </w:r>
      <w:proofErr w:type="spellEnd"/>
      <w:r w:rsidR="007A34AB" w:rsidRPr="0086186A">
        <w:rPr>
          <w:rFonts w:ascii="Times New Roman" w:hAnsi="Times New Roman" w:cs="Times New Roman"/>
          <w:sz w:val="20"/>
          <w:szCs w:val="20"/>
          <w:lang w:val="hr-HR"/>
        </w:rPr>
        <w:t xml:space="preserve"> Dunav) provedeno je nekoliko istraživanja o postojećem potencijalu, koja su potvrdila povoljne uvjete u tom području.  U Mađarskoj se geotermalna energija iskorištava u nekoliko gradova u pograničnom području za grijanje u okrugu, dok je u Hrvatskoj navedeni udio geotermalne energije u ukupnoj proizvodnji energije iz obnovljivih izvora prilično nizak. Međutim, posljednjih je godina pokrenuto nekoliko projekata, primjerice geotermalna elektrana Velika 1 u Bjelovarsko-bilogorskoj županiji. Grad Virovitica provodi istraživanja na već definiranim bušotinama u Virovitici (kroz prethodno provedene projekte) s ishođenim građevinskim dozvolama, a provedba je moguća u okviru tekuće financijske perspektive.</w:t>
      </w:r>
    </w:p>
    <w:p w14:paraId="2FC6E986" w14:textId="7CF98B93" w:rsidR="007A34AB" w:rsidRPr="0086186A" w:rsidRDefault="007A34AB" w:rsidP="00D8786F">
      <w:pPr>
        <w:pStyle w:val="BodyText"/>
        <w:ind w:left="170" w:right="135"/>
        <w:jc w:val="both"/>
        <w:rPr>
          <w:rFonts w:ascii="Times New Roman" w:hAnsi="Times New Roman" w:cs="Times New Roman"/>
          <w:sz w:val="20"/>
          <w:szCs w:val="20"/>
          <w:lang w:val="hr-HR"/>
        </w:rPr>
      </w:pPr>
    </w:p>
    <w:p w14:paraId="0C6C74B3" w14:textId="13E0319C" w:rsidR="007A34AB" w:rsidRPr="0086186A" w:rsidRDefault="007A34AB"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S obzirom na to da pogranično područje ima izvrsne uvjete za energiju iz biomase, sunca i geotermalnih izvora, ono ima osjetljivu prirodu, podložno je energetskom siromaštvu i ima energetski neučinkovit fond zgrada. Stoga pogranično područje, posebno ruralna područja koja zaostaju, mogu imati koristi od zajedničkog djelovanja kroz pilot-projekte i mjere podizanja svijesti, koji mogu </w:t>
      </w:r>
      <w:r w:rsidR="00595009" w:rsidRPr="0086186A">
        <w:rPr>
          <w:rFonts w:ascii="Times New Roman" w:hAnsi="Times New Roman" w:cs="Times New Roman"/>
          <w:sz w:val="20"/>
          <w:szCs w:val="20"/>
          <w:lang w:val="hr-HR"/>
        </w:rPr>
        <w:t>ostvariti stvarnu dodanu vrijednost.</w:t>
      </w:r>
    </w:p>
    <w:p w14:paraId="1ADBFB4D" w14:textId="04447359" w:rsidR="00595009" w:rsidRPr="0086186A" w:rsidRDefault="00595009" w:rsidP="00D8786F">
      <w:pPr>
        <w:pStyle w:val="BodyText"/>
        <w:ind w:left="170" w:right="135"/>
        <w:jc w:val="both"/>
        <w:rPr>
          <w:rFonts w:ascii="Times New Roman" w:hAnsi="Times New Roman" w:cs="Times New Roman"/>
          <w:sz w:val="20"/>
          <w:szCs w:val="20"/>
          <w:lang w:val="hr-HR"/>
        </w:rPr>
      </w:pPr>
    </w:p>
    <w:p w14:paraId="5109BD8D" w14:textId="2755ED09" w:rsidR="00595009" w:rsidRPr="0086186A" w:rsidRDefault="00595009" w:rsidP="00D8786F">
      <w:pPr>
        <w:pStyle w:val="BodyText"/>
        <w:ind w:left="170" w:right="135"/>
        <w:jc w:val="both"/>
        <w:rPr>
          <w:rFonts w:ascii="Times New Roman" w:hAnsi="Times New Roman" w:cs="Times New Roman"/>
          <w:i/>
          <w:iCs/>
          <w:sz w:val="20"/>
          <w:szCs w:val="20"/>
          <w:lang w:val="hr-HR"/>
        </w:rPr>
      </w:pPr>
      <w:proofErr w:type="spellStart"/>
      <w:r w:rsidRPr="0086186A">
        <w:rPr>
          <w:rFonts w:ascii="Times New Roman" w:hAnsi="Times New Roman" w:cs="Times New Roman"/>
          <w:i/>
          <w:iCs/>
          <w:sz w:val="20"/>
          <w:szCs w:val="20"/>
          <w:lang w:val="hr-HR"/>
        </w:rPr>
        <w:t>Povezivost</w:t>
      </w:r>
      <w:proofErr w:type="spellEnd"/>
    </w:p>
    <w:p w14:paraId="2673352F" w14:textId="43BFBA1A" w:rsidR="00595009" w:rsidRPr="0086186A" w:rsidRDefault="00595009" w:rsidP="00D8786F">
      <w:pPr>
        <w:pStyle w:val="BodyText"/>
        <w:ind w:left="170" w:right="135"/>
        <w:jc w:val="both"/>
        <w:rPr>
          <w:rFonts w:ascii="Times New Roman" w:hAnsi="Times New Roman" w:cs="Times New Roman"/>
          <w:sz w:val="20"/>
          <w:szCs w:val="20"/>
          <w:lang w:val="hr-HR"/>
        </w:rPr>
      </w:pPr>
    </w:p>
    <w:p w14:paraId="2D5346A5" w14:textId="277CD0D4" w:rsidR="00595009" w:rsidRPr="0086186A" w:rsidRDefault="00595009"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Prema Eurostatu, pristup internetu iz kućanstava poraslo je u obje države od prosječnih 45% u 2007. na 83% u 2019., dok se broj pojedinaca koji se nikad nisu poslužili računalom smanjio za 2 – 4% u obje države u razmatranim područjima </w:t>
      </w:r>
      <w:proofErr w:type="spellStart"/>
      <w:r w:rsidRPr="0086186A">
        <w:rPr>
          <w:rFonts w:ascii="Times New Roman" w:hAnsi="Times New Roman" w:cs="Times New Roman"/>
          <w:sz w:val="20"/>
          <w:szCs w:val="20"/>
          <w:lang w:val="hr-HR"/>
        </w:rPr>
        <w:t>NUTS</w:t>
      </w:r>
      <w:proofErr w:type="spellEnd"/>
      <w:r w:rsidRPr="0086186A">
        <w:rPr>
          <w:rFonts w:ascii="Times New Roman" w:hAnsi="Times New Roman" w:cs="Times New Roman"/>
          <w:sz w:val="20"/>
          <w:szCs w:val="20"/>
          <w:lang w:val="hr-HR"/>
        </w:rPr>
        <w:t xml:space="preserve"> 2. Indeks digitalnoga gospodarstva i društva (DESI) u Pregledu digitalnih rezultata Europske komisije pokazuje da su obje države ispod europskog prosjeka i među posljednjih deset na ljestvici. Prema Izvješću o mjerilima e-vlade u 2020., s obzirom na e-vladu Mađarska se smatra u skladu s prosjekom, dok je Hrvatska u ponešto višoj kategoriji penetracije internetskih javnih usluga, no zaostaje s obzirom na digitalizaciju (internetsku dostupnost javnih usluga). prema podacima iz 2017. i 2018., usluge e-zdravstva nešto su naprednije u Hrvatskoj.</w:t>
      </w:r>
    </w:p>
    <w:p w14:paraId="7A640FFB" w14:textId="6BC60E83" w:rsidR="00030C18" w:rsidRPr="0086186A" w:rsidRDefault="00030C18" w:rsidP="00D8786F">
      <w:pPr>
        <w:pStyle w:val="BodyText"/>
        <w:ind w:left="170" w:right="135"/>
        <w:jc w:val="both"/>
        <w:rPr>
          <w:rFonts w:ascii="Times New Roman" w:hAnsi="Times New Roman" w:cs="Times New Roman"/>
          <w:sz w:val="20"/>
          <w:szCs w:val="20"/>
          <w:lang w:val="hr-HR"/>
        </w:rPr>
      </w:pPr>
    </w:p>
    <w:p w14:paraId="28279B05" w14:textId="0E51634B" w:rsidR="00030C18" w:rsidRPr="0086186A" w:rsidRDefault="00030C18"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Stanovništvo pograničnog područja ima vrlo ograničen pristup prekograničnim željezničkim uslugama s vrlo </w:t>
      </w:r>
      <w:r w:rsidR="00E46037" w:rsidRPr="0086186A">
        <w:rPr>
          <w:rFonts w:ascii="Times New Roman" w:hAnsi="Times New Roman" w:cs="Times New Roman"/>
          <w:sz w:val="20"/>
          <w:szCs w:val="20"/>
          <w:lang w:val="hr-HR"/>
        </w:rPr>
        <w:t>niskim brojem vlakova i nepovoljnim trajanjem putovanja, no uvjeti su ponešto bolji na mađarskoj strani. Željeznička os pograničnog područja jest sredozemni koridor mreže TEN-T, koji prolazi kroz pogranično područje (Koprivnica-</w:t>
      </w:r>
      <w:proofErr w:type="spellStart"/>
      <w:r w:rsidR="00E46037" w:rsidRPr="0086186A">
        <w:rPr>
          <w:rFonts w:ascii="Times New Roman" w:hAnsi="Times New Roman" w:cs="Times New Roman"/>
          <w:sz w:val="20"/>
          <w:szCs w:val="20"/>
          <w:lang w:val="hr-HR"/>
        </w:rPr>
        <w:t>Gyékényes</w:t>
      </w:r>
      <w:proofErr w:type="spellEnd"/>
      <w:r w:rsidR="00E46037" w:rsidRPr="0086186A">
        <w:rPr>
          <w:rFonts w:ascii="Times New Roman" w:hAnsi="Times New Roman" w:cs="Times New Roman"/>
          <w:sz w:val="20"/>
          <w:szCs w:val="20"/>
          <w:lang w:val="hr-HR"/>
        </w:rPr>
        <w:t>-</w:t>
      </w:r>
      <w:proofErr w:type="spellStart"/>
      <w:r w:rsidR="00E46037" w:rsidRPr="0086186A">
        <w:rPr>
          <w:rFonts w:ascii="Times New Roman" w:hAnsi="Times New Roman" w:cs="Times New Roman"/>
          <w:sz w:val="20"/>
          <w:szCs w:val="20"/>
          <w:lang w:val="hr-HR"/>
        </w:rPr>
        <w:t>Kaposvár</w:t>
      </w:r>
      <w:proofErr w:type="spellEnd"/>
      <w:r w:rsidR="00E46037" w:rsidRPr="0086186A">
        <w:rPr>
          <w:rFonts w:ascii="Times New Roman" w:hAnsi="Times New Roman" w:cs="Times New Roman"/>
          <w:sz w:val="20"/>
          <w:szCs w:val="20"/>
          <w:lang w:val="hr-HR"/>
        </w:rPr>
        <w:t>)</w:t>
      </w:r>
      <w:r w:rsidR="00235795" w:rsidRPr="0086186A">
        <w:rPr>
          <w:rFonts w:ascii="Times New Roman" w:hAnsi="Times New Roman" w:cs="Times New Roman"/>
          <w:sz w:val="20"/>
          <w:szCs w:val="20"/>
          <w:lang w:val="hr-HR"/>
        </w:rPr>
        <w:t>, no većina prometa odvija se duž Balatonskog jezera, izbjegavajući unutarnji dio pograničnog područja. Željeznička linija Budimpešta-Pečuh-Osijek, kao dio sveobuhvatne mreže (koridor V/c) tek je sekundarnog značaja iz transnacionalne perspektive.</w:t>
      </w:r>
    </w:p>
    <w:p w14:paraId="635ADB95" w14:textId="2FA6CAD5" w:rsidR="00235795" w:rsidRPr="0086186A" w:rsidRDefault="00235795" w:rsidP="00D8786F">
      <w:pPr>
        <w:pStyle w:val="BodyText"/>
        <w:ind w:left="170" w:right="135"/>
        <w:jc w:val="both"/>
        <w:rPr>
          <w:rFonts w:ascii="Times New Roman" w:hAnsi="Times New Roman" w:cs="Times New Roman"/>
          <w:sz w:val="20"/>
          <w:szCs w:val="20"/>
          <w:lang w:val="hr-HR"/>
        </w:rPr>
      </w:pPr>
    </w:p>
    <w:p w14:paraId="2CC00FD8" w14:textId="06868E1B" w:rsidR="00235795" w:rsidRPr="0086186A" w:rsidRDefault="00235795"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Iz perspektive cestovne infrastrukture, prekogranično područje nalazi se u trokutu triju elemenata TEN-T mreže: sredozemnog TEN-T koridora V/b (E71, A4-M7), koridora X (E70, A3) i koridora V/c (E73, A5-M6). Zapadni dio pograničnog područja ima dobru </w:t>
      </w:r>
      <w:proofErr w:type="spellStart"/>
      <w:r w:rsidRPr="0086186A">
        <w:rPr>
          <w:rFonts w:ascii="Times New Roman" w:hAnsi="Times New Roman" w:cs="Times New Roman"/>
          <w:sz w:val="20"/>
          <w:szCs w:val="20"/>
          <w:lang w:val="hr-HR"/>
        </w:rPr>
        <w:t>povezivost</w:t>
      </w:r>
      <w:proofErr w:type="spellEnd"/>
      <w:r w:rsidRPr="0086186A">
        <w:rPr>
          <w:rFonts w:ascii="Times New Roman" w:hAnsi="Times New Roman" w:cs="Times New Roman"/>
          <w:sz w:val="20"/>
          <w:szCs w:val="20"/>
          <w:lang w:val="hr-HR"/>
        </w:rPr>
        <w:t xml:space="preserve"> s mrežom cestovne infrastrukture zapadne Europe, no područje pati od problema u vezi s kapacitetima. Pristupačnost istočne periferije značajno je unaprijeđena razvojem autocesta, no prekogranična dionica između Osijeka i </w:t>
      </w:r>
      <w:proofErr w:type="spellStart"/>
      <w:r w:rsidRPr="0086186A">
        <w:rPr>
          <w:rFonts w:ascii="Times New Roman" w:hAnsi="Times New Roman" w:cs="Times New Roman"/>
          <w:sz w:val="20"/>
          <w:szCs w:val="20"/>
          <w:lang w:val="hr-HR"/>
        </w:rPr>
        <w:t>Mohača</w:t>
      </w:r>
      <w:proofErr w:type="spellEnd"/>
      <w:r w:rsidRPr="0086186A">
        <w:rPr>
          <w:rFonts w:ascii="Times New Roman" w:hAnsi="Times New Roman" w:cs="Times New Roman"/>
          <w:sz w:val="20"/>
          <w:szCs w:val="20"/>
          <w:lang w:val="hr-HR"/>
        </w:rPr>
        <w:t xml:space="preserve"> još uvijek nedostaje. Pristupačnost županijskih središta značajno je unaprijeđena. </w:t>
      </w:r>
      <w:proofErr w:type="spellStart"/>
      <w:r w:rsidRPr="0086186A">
        <w:rPr>
          <w:rFonts w:ascii="Times New Roman" w:hAnsi="Times New Roman" w:cs="Times New Roman"/>
          <w:sz w:val="20"/>
          <w:szCs w:val="20"/>
          <w:lang w:val="hr-HR"/>
        </w:rPr>
        <w:t>Kaposvár</w:t>
      </w:r>
      <w:proofErr w:type="spellEnd"/>
      <w:r w:rsidRPr="0086186A">
        <w:rPr>
          <w:rFonts w:ascii="Times New Roman" w:hAnsi="Times New Roman" w:cs="Times New Roman"/>
          <w:sz w:val="20"/>
          <w:szCs w:val="20"/>
          <w:lang w:val="hr-HR"/>
        </w:rPr>
        <w:t xml:space="preserve"> je spojen brzom cestom na M7, a slično je u izgradnji prema </w:t>
      </w:r>
      <w:proofErr w:type="spellStart"/>
      <w:r w:rsidRPr="0086186A">
        <w:rPr>
          <w:rFonts w:ascii="Times New Roman" w:hAnsi="Times New Roman" w:cs="Times New Roman"/>
          <w:sz w:val="20"/>
          <w:szCs w:val="20"/>
          <w:lang w:val="hr-HR"/>
        </w:rPr>
        <w:t>Zalaegerszegu</w:t>
      </w:r>
      <w:proofErr w:type="spellEnd"/>
      <w:r w:rsidRPr="0086186A">
        <w:rPr>
          <w:rFonts w:ascii="Times New Roman" w:hAnsi="Times New Roman" w:cs="Times New Roman"/>
          <w:sz w:val="20"/>
          <w:szCs w:val="20"/>
          <w:lang w:val="hr-HR"/>
        </w:rPr>
        <w:t xml:space="preserve">. </w:t>
      </w:r>
      <w:r w:rsidR="00892B56" w:rsidRPr="0086186A">
        <w:rPr>
          <w:rFonts w:ascii="Times New Roman" w:hAnsi="Times New Roman" w:cs="Times New Roman"/>
          <w:sz w:val="20"/>
          <w:szCs w:val="20"/>
          <w:lang w:val="hr-HR"/>
        </w:rPr>
        <w:t xml:space="preserve">Produljenje autoceste M60 od Pečuha prema </w:t>
      </w:r>
      <w:proofErr w:type="spellStart"/>
      <w:r w:rsidR="00892B56" w:rsidRPr="0086186A">
        <w:rPr>
          <w:rFonts w:ascii="Times New Roman" w:hAnsi="Times New Roman" w:cs="Times New Roman"/>
          <w:sz w:val="20"/>
          <w:szCs w:val="20"/>
          <w:lang w:val="hr-HR"/>
        </w:rPr>
        <w:t>Bar</w:t>
      </w:r>
      <w:r w:rsidR="00AB4087" w:rsidRPr="0086186A">
        <w:rPr>
          <w:rFonts w:ascii="Times New Roman" w:hAnsi="Times New Roman" w:cs="Times New Roman"/>
          <w:sz w:val="20"/>
          <w:szCs w:val="20"/>
          <w:lang w:val="hr-HR"/>
        </w:rPr>
        <w:t>ču</w:t>
      </w:r>
      <w:proofErr w:type="spellEnd"/>
      <w:r w:rsidR="00892B56" w:rsidRPr="0086186A">
        <w:rPr>
          <w:rFonts w:ascii="Times New Roman" w:hAnsi="Times New Roman" w:cs="Times New Roman"/>
          <w:sz w:val="20"/>
          <w:szCs w:val="20"/>
          <w:lang w:val="hr-HR"/>
        </w:rPr>
        <w:t xml:space="preserve"> (državna granica) također je u planu. Na hrvatskoj strani izgrađena je nova državna cesta D10 (A4-Vrbovec-Križevci), a u pripremi je njeno produljenje do Koprivnice. Državna cesta D12 također je izgrađena između Vrbovca i </w:t>
      </w:r>
      <w:proofErr w:type="spellStart"/>
      <w:r w:rsidR="00892B56" w:rsidRPr="0086186A">
        <w:rPr>
          <w:rFonts w:ascii="Times New Roman" w:hAnsi="Times New Roman" w:cs="Times New Roman"/>
          <w:sz w:val="20"/>
          <w:szCs w:val="20"/>
          <w:lang w:val="hr-HR"/>
        </w:rPr>
        <w:t>Farkaševaca</w:t>
      </w:r>
      <w:proofErr w:type="spellEnd"/>
      <w:r w:rsidR="00892B56" w:rsidRPr="0086186A">
        <w:rPr>
          <w:rFonts w:ascii="Times New Roman" w:hAnsi="Times New Roman" w:cs="Times New Roman"/>
          <w:sz w:val="20"/>
          <w:szCs w:val="20"/>
          <w:lang w:val="hr-HR"/>
        </w:rPr>
        <w:t xml:space="preserve">, a u planu su i radovi prema Bjelovaru. Krajnja točka ceste D12 trebao bi biti granični prijelaz Terezino </w:t>
      </w:r>
      <w:r w:rsidR="00F84498" w:rsidRPr="0086186A">
        <w:rPr>
          <w:rFonts w:ascii="Times New Roman" w:hAnsi="Times New Roman" w:cs="Times New Roman"/>
          <w:sz w:val="20"/>
          <w:szCs w:val="20"/>
          <w:lang w:val="hr-HR"/>
        </w:rPr>
        <w:t>Polje</w:t>
      </w:r>
      <w:r w:rsidR="00892B56" w:rsidRPr="0086186A">
        <w:rPr>
          <w:rFonts w:ascii="Times New Roman" w:hAnsi="Times New Roman" w:cs="Times New Roman"/>
          <w:sz w:val="20"/>
          <w:szCs w:val="20"/>
          <w:lang w:val="hr-HR"/>
        </w:rPr>
        <w:t xml:space="preserve"> kao </w:t>
      </w:r>
      <w:r w:rsidR="00892B56" w:rsidRPr="0086186A">
        <w:rPr>
          <w:rFonts w:ascii="Times New Roman" w:hAnsi="Times New Roman" w:cs="Times New Roman"/>
          <w:sz w:val="20"/>
          <w:szCs w:val="20"/>
          <w:lang w:val="hr-HR"/>
        </w:rPr>
        <w:lastRenderedPageBreak/>
        <w:t xml:space="preserve">učinkovita veza između Zagreba i Pečuha. Unatoč novoizgrađenim dionicama, horizontalna povezanost na trenutačnoj unutarnjoj cestovnoj mreži ima uska grla. Glavna podravska cesta D2 izgrađena je sa zaobilaznicama oko glavnih centara (Osijek, Virovitica), no horizontalna povezanost ostaje nedjelotvorna. Na sličan način, na mađarskoj je strani veza između Pečuha i </w:t>
      </w:r>
      <w:proofErr w:type="spellStart"/>
      <w:r w:rsidR="00892B56" w:rsidRPr="0086186A">
        <w:rPr>
          <w:rFonts w:ascii="Times New Roman" w:hAnsi="Times New Roman" w:cs="Times New Roman"/>
          <w:sz w:val="20"/>
          <w:szCs w:val="20"/>
          <w:lang w:val="hr-HR"/>
        </w:rPr>
        <w:t>Zalaegerszega</w:t>
      </w:r>
      <w:proofErr w:type="spellEnd"/>
      <w:r w:rsidR="00892B56" w:rsidRPr="0086186A">
        <w:rPr>
          <w:rFonts w:ascii="Times New Roman" w:hAnsi="Times New Roman" w:cs="Times New Roman"/>
          <w:sz w:val="20"/>
          <w:szCs w:val="20"/>
          <w:lang w:val="hr-HR"/>
        </w:rPr>
        <w:t xml:space="preserve"> omogućena cestama niskoga kapaciteta. Izolirana situacija srednjeg dijela pograničnog područja značajno utječe na unutarnju koheziju pograničnog područja u cjelini.</w:t>
      </w:r>
    </w:p>
    <w:p w14:paraId="4750A14F" w14:textId="7B491F73" w:rsidR="00892B56" w:rsidRPr="0086186A" w:rsidRDefault="00892B56" w:rsidP="00D8786F">
      <w:pPr>
        <w:pStyle w:val="BodyText"/>
        <w:ind w:left="170" w:right="135"/>
        <w:jc w:val="both"/>
        <w:rPr>
          <w:rFonts w:ascii="Times New Roman" w:hAnsi="Times New Roman" w:cs="Times New Roman"/>
          <w:sz w:val="20"/>
          <w:szCs w:val="20"/>
          <w:lang w:val="hr-HR"/>
        </w:rPr>
      </w:pPr>
    </w:p>
    <w:p w14:paraId="3F48711E" w14:textId="64AFA1FC" w:rsidR="00892B56" w:rsidRPr="0086186A" w:rsidRDefault="00892B56"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Granica između Hrvatske i Mađarske posebno je nepropusna.</w:t>
      </w:r>
      <w:r w:rsidR="00BB0E68" w:rsidRPr="0086186A">
        <w:rPr>
          <w:rFonts w:ascii="Times New Roman" w:hAnsi="Times New Roman" w:cs="Times New Roman"/>
          <w:sz w:val="20"/>
          <w:szCs w:val="20"/>
          <w:lang w:val="hr-HR"/>
        </w:rPr>
        <w:t xml:space="preserve"> Prosječna udaljenost između graničnih prijelaza je 62 km, a najdulja 72 km. Zbog toga su okruzi </w:t>
      </w:r>
      <w:proofErr w:type="spellStart"/>
      <w:r w:rsidR="00BB0E68" w:rsidRPr="0086186A">
        <w:rPr>
          <w:rFonts w:ascii="Times New Roman" w:hAnsi="Times New Roman" w:cs="Times New Roman"/>
          <w:sz w:val="20"/>
          <w:szCs w:val="20"/>
          <w:lang w:val="hr-HR"/>
        </w:rPr>
        <w:t>Sellye</w:t>
      </w:r>
      <w:proofErr w:type="spellEnd"/>
      <w:r w:rsidR="00BB0E68" w:rsidRPr="0086186A">
        <w:rPr>
          <w:rFonts w:ascii="Times New Roman" w:hAnsi="Times New Roman" w:cs="Times New Roman"/>
          <w:sz w:val="20"/>
          <w:szCs w:val="20"/>
          <w:lang w:val="hr-HR"/>
        </w:rPr>
        <w:t xml:space="preserve"> i </w:t>
      </w:r>
      <w:proofErr w:type="spellStart"/>
      <w:r w:rsidR="00BB0E68" w:rsidRPr="0086186A">
        <w:rPr>
          <w:rFonts w:ascii="Times New Roman" w:hAnsi="Times New Roman" w:cs="Times New Roman"/>
          <w:sz w:val="20"/>
          <w:szCs w:val="20"/>
          <w:lang w:val="hr-HR"/>
        </w:rPr>
        <w:t>Szentlőrinc</w:t>
      </w:r>
      <w:proofErr w:type="spellEnd"/>
      <w:r w:rsidR="00BB0E68" w:rsidRPr="0086186A">
        <w:rPr>
          <w:rFonts w:ascii="Times New Roman" w:hAnsi="Times New Roman" w:cs="Times New Roman"/>
          <w:sz w:val="20"/>
          <w:szCs w:val="20"/>
          <w:lang w:val="hr-HR"/>
        </w:rPr>
        <w:t xml:space="preserve">, kao i dio </w:t>
      </w:r>
      <w:proofErr w:type="spellStart"/>
      <w:r w:rsidR="00BB0E68" w:rsidRPr="0086186A">
        <w:rPr>
          <w:rFonts w:ascii="Times New Roman" w:hAnsi="Times New Roman" w:cs="Times New Roman"/>
          <w:sz w:val="20"/>
          <w:szCs w:val="20"/>
          <w:lang w:val="hr-HR"/>
        </w:rPr>
        <w:t>Szigetvára</w:t>
      </w:r>
      <w:proofErr w:type="spellEnd"/>
      <w:r w:rsidR="00BB0E68" w:rsidRPr="0086186A">
        <w:rPr>
          <w:rFonts w:ascii="Times New Roman" w:hAnsi="Times New Roman" w:cs="Times New Roman"/>
          <w:sz w:val="20"/>
          <w:szCs w:val="20"/>
          <w:lang w:val="hr-HR"/>
        </w:rPr>
        <w:t xml:space="preserve"> i Slatine na hrvatskoj strani izolirani od druge strane granice. Ta je okolnost općenita prepreka prekograničnoj </w:t>
      </w:r>
      <w:r w:rsidR="00F84498" w:rsidRPr="0086186A">
        <w:rPr>
          <w:rFonts w:ascii="Times New Roman" w:hAnsi="Times New Roman" w:cs="Times New Roman"/>
          <w:sz w:val="20"/>
          <w:szCs w:val="20"/>
          <w:lang w:val="hr-HR"/>
        </w:rPr>
        <w:t>mobilnosti</w:t>
      </w:r>
      <w:r w:rsidR="00BB0E68" w:rsidRPr="0086186A">
        <w:rPr>
          <w:rFonts w:ascii="Times New Roman" w:hAnsi="Times New Roman" w:cs="Times New Roman"/>
          <w:sz w:val="20"/>
          <w:szCs w:val="20"/>
          <w:lang w:val="hr-HR"/>
        </w:rPr>
        <w:t xml:space="preserve"> i zapošljavanju</w:t>
      </w:r>
      <w:r w:rsidR="007E7ADF" w:rsidRPr="0086186A">
        <w:rPr>
          <w:rFonts w:ascii="Times New Roman" w:hAnsi="Times New Roman" w:cs="Times New Roman"/>
          <w:sz w:val="20"/>
          <w:szCs w:val="20"/>
          <w:lang w:val="hr-HR"/>
        </w:rPr>
        <w:t>, a pogoršana je činjenicom da je mađarsko-hrvatska granica još uvijek šengenska granica sa strogom graničnom kontrolom. Od stalnih graničnih prijelaza, prijelaz na autocesti Goričan-</w:t>
      </w:r>
      <w:proofErr w:type="spellStart"/>
      <w:r w:rsidR="007E7ADF" w:rsidRPr="0086186A">
        <w:rPr>
          <w:rFonts w:ascii="Times New Roman" w:hAnsi="Times New Roman" w:cs="Times New Roman"/>
          <w:sz w:val="20"/>
          <w:szCs w:val="20"/>
          <w:lang w:val="hr-HR"/>
        </w:rPr>
        <w:t>Letenye</w:t>
      </w:r>
      <w:proofErr w:type="spellEnd"/>
      <w:r w:rsidR="007E7ADF" w:rsidRPr="0086186A">
        <w:rPr>
          <w:rFonts w:ascii="Times New Roman" w:hAnsi="Times New Roman" w:cs="Times New Roman"/>
          <w:sz w:val="20"/>
          <w:szCs w:val="20"/>
          <w:lang w:val="hr-HR"/>
        </w:rPr>
        <w:t xml:space="preserve"> ima najintenzivniji promet, s 55,5% ukupnog prometa i rastućim trendom. Prijelaz </w:t>
      </w:r>
      <w:proofErr w:type="spellStart"/>
      <w:r w:rsidR="007E7ADF" w:rsidRPr="0086186A">
        <w:rPr>
          <w:rFonts w:ascii="Times New Roman" w:hAnsi="Times New Roman" w:cs="Times New Roman"/>
          <w:sz w:val="20"/>
          <w:szCs w:val="20"/>
          <w:lang w:val="hr-HR"/>
        </w:rPr>
        <w:t>Duboševica-Udvar</w:t>
      </w:r>
      <w:proofErr w:type="spellEnd"/>
      <w:r w:rsidR="007E7ADF" w:rsidRPr="0086186A">
        <w:rPr>
          <w:rFonts w:ascii="Times New Roman" w:hAnsi="Times New Roman" w:cs="Times New Roman"/>
          <w:sz w:val="20"/>
          <w:szCs w:val="20"/>
          <w:lang w:val="hr-HR"/>
        </w:rPr>
        <w:t xml:space="preserve"> ima sekundarnu ulogu, s udjelom od 16% i pozitivnim trendom. Budući da Mura i Drava čine državnu granicu na dugoj udaljenosti, otvaranje novih graničnih prijelaza zahtijevalo bi izgradnju mostova. Projekt prekogranične suradnje (</w:t>
      </w:r>
      <w:r w:rsidR="00F84498">
        <w:rPr>
          <w:rFonts w:ascii="Times New Roman" w:hAnsi="Times New Roman" w:cs="Times New Roman"/>
          <w:sz w:val="20"/>
          <w:szCs w:val="20"/>
          <w:lang w:val="hr-HR"/>
        </w:rPr>
        <w:t>„</w:t>
      </w:r>
      <w:proofErr w:type="spellStart"/>
      <w:r w:rsidR="007E7ADF" w:rsidRPr="0086186A">
        <w:rPr>
          <w:rFonts w:ascii="Times New Roman" w:hAnsi="Times New Roman" w:cs="Times New Roman"/>
          <w:sz w:val="20"/>
          <w:szCs w:val="20"/>
          <w:lang w:val="hr-HR"/>
        </w:rPr>
        <w:t>MuKoBridge</w:t>
      </w:r>
      <w:proofErr w:type="spellEnd"/>
      <w:r w:rsidR="00F84498">
        <w:rPr>
          <w:rFonts w:ascii="Times New Roman" w:hAnsi="Times New Roman" w:cs="Times New Roman"/>
          <w:sz w:val="20"/>
          <w:szCs w:val="20"/>
          <w:lang w:val="hr-HR"/>
        </w:rPr>
        <w:t>“</w:t>
      </w:r>
      <w:r w:rsidR="007E7ADF" w:rsidRPr="0086186A">
        <w:rPr>
          <w:rFonts w:ascii="Times New Roman" w:hAnsi="Times New Roman" w:cs="Times New Roman"/>
          <w:sz w:val="20"/>
          <w:szCs w:val="20"/>
          <w:lang w:val="hr-HR"/>
        </w:rPr>
        <w:t xml:space="preserve">, </w:t>
      </w:r>
      <w:proofErr w:type="spellStart"/>
      <w:r w:rsidR="007E7ADF" w:rsidRPr="0086186A">
        <w:rPr>
          <w:rFonts w:ascii="Times New Roman" w:hAnsi="Times New Roman" w:cs="Times New Roman"/>
          <w:sz w:val="20"/>
          <w:szCs w:val="20"/>
          <w:lang w:val="hr-HR"/>
        </w:rPr>
        <w:t>HUHR</w:t>
      </w:r>
      <w:proofErr w:type="spellEnd"/>
      <w:r w:rsidR="007E7ADF" w:rsidRPr="0086186A">
        <w:rPr>
          <w:rFonts w:ascii="Times New Roman" w:hAnsi="Times New Roman" w:cs="Times New Roman"/>
          <w:sz w:val="20"/>
          <w:szCs w:val="20"/>
          <w:lang w:val="hr-HR"/>
        </w:rPr>
        <w:t>/1902/2.1.4/0002</w:t>
      </w:r>
      <w:r w:rsidR="007E7ADF" w:rsidRPr="0086186A">
        <w:rPr>
          <w:rStyle w:val="FootnoteReference"/>
          <w:rFonts w:ascii="Times New Roman" w:hAnsi="Times New Roman" w:cs="Times New Roman"/>
          <w:sz w:val="20"/>
          <w:szCs w:val="20"/>
          <w:lang w:val="hr-HR"/>
        </w:rPr>
        <w:footnoteReference w:id="2"/>
      </w:r>
      <w:r w:rsidR="007E7ADF" w:rsidRPr="0086186A">
        <w:rPr>
          <w:rFonts w:ascii="Times New Roman" w:hAnsi="Times New Roman" w:cs="Times New Roman"/>
          <w:sz w:val="20"/>
          <w:szCs w:val="20"/>
          <w:lang w:val="hr-HR"/>
        </w:rPr>
        <w:t xml:space="preserve">) u fazi je pripreme građevinskih planova za izgradnju novog mosta između </w:t>
      </w:r>
      <w:proofErr w:type="spellStart"/>
      <w:r w:rsidR="007E7ADF" w:rsidRPr="0086186A">
        <w:rPr>
          <w:rFonts w:ascii="Times New Roman" w:hAnsi="Times New Roman" w:cs="Times New Roman"/>
          <w:sz w:val="20"/>
          <w:szCs w:val="20"/>
          <w:lang w:val="hr-HR"/>
        </w:rPr>
        <w:t>Murakeresztúra</w:t>
      </w:r>
      <w:proofErr w:type="spellEnd"/>
      <w:r w:rsidR="007E7ADF" w:rsidRPr="0086186A">
        <w:rPr>
          <w:rFonts w:ascii="Times New Roman" w:hAnsi="Times New Roman" w:cs="Times New Roman"/>
          <w:sz w:val="20"/>
          <w:szCs w:val="20"/>
          <w:lang w:val="hr-HR"/>
        </w:rPr>
        <w:t xml:space="preserve"> i Kotoribe.</w:t>
      </w:r>
    </w:p>
    <w:p w14:paraId="01A9B38B" w14:textId="665989E0" w:rsidR="007E7ADF" w:rsidRPr="0086186A" w:rsidRDefault="007E7ADF" w:rsidP="00D8786F">
      <w:pPr>
        <w:pStyle w:val="BodyText"/>
        <w:ind w:left="170" w:right="135"/>
        <w:jc w:val="both"/>
        <w:rPr>
          <w:rFonts w:ascii="Times New Roman" w:hAnsi="Times New Roman" w:cs="Times New Roman"/>
          <w:sz w:val="20"/>
          <w:szCs w:val="20"/>
          <w:lang w:val="hr-HR"/>
        </w:rPr>
      </w:pPr>
    </w:p>
    <w:p w14:paraId="140B40ED" w14:textId="77198B3D" w:rsidR="007E7ADF" w:rsidRPr="0086186A" w:rsidRDefault="007E7ADF"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S obzirom na redovite autobusne linije, trenutačno nema prekograničnih veza, no </w:t>
      </w:r>
      <w:proofErr w:type="spellStart"/>
      <w:r w:rsidRPr="0086186A">
        <w:rPr>
          <w:rFonts w:ascii="Times New Roman" w:hAnsi="Times New Roman" w:cs="Times New Roman"/>
          <w:sz w:val="20"/>
          <w:szCs w:val="20"/>
          <w:lang w:val="hr-HR"/>
        </w:rPr>
        <w:t>Flixbus</w:t>
      </w:r>
      <w:proofErr w:type="spellEnd"/>
      <w:r w:rsidRPr="0086186A">
        <w:rPr>
          <w:rFonts w:ascii="Times New Roman" w:hAnsi="Times New Roman" w:cs="Times New Roman"/>
          <w:sz w:val="20"/>
          <w:szCs w:val="20"/>
          <w:lang w:val="hr-HR"/>
        </w:rPr>
        <w:t xml:space="preserve"> nudi liniju od nekoliko mjesta u Hrvatskoj do Austrije i Njemačke.</w:t>
      </w:r>
    </w:p>
    <w:p w14:paraId="29FFA922" w14:textId="50084E80" w:rsidR="007E7ADF" w:rsidRPr="0086186A" w:rsidRDefault="007E7ADF" w:rsidP="00D8786F">
      <w:pPr>
        <w:pStyle w:val="BodyText"/>
        <w:ind w:left="170" w:right="135"/>
        <w:jc w:val="both"/>
        <w:rPr>
          <w:rFonts w:ascii="Times New Roman" w:hAnsi="Times New Roman" w:cs="Times New Roman"/>
          <w:sz w:val="20"/>
          <w:szCs w:val="20"/>
          <w:lang w:val="hr-HR"/>
        </w:rPr>
      </w:pPr>
    </w:p>
    <w:p w14:paraId="69B85379" w14:textId="13F584D4" w:rsidR="007E7ADF" w:rsidRPr="0086186A" w:rsidRDefault="00AB4087"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Biciklistička infrastruktura sastoji se od dvije </w:t>
      </w:r>
      <w:proofErr w:type="spellStart"/>
      <w:r w:rsidRPr="0086186A">
        <w:rPr>
          <w:rFonts w:ascii="Times New Roman" w:hAnsi="Times New Roman" w:cs="Times New Roman"/>
          <w:sz w:val="20"/>
          <w:szCs w:val="20"/>
          <w:lang w:val="hr-HR"/>
        </w:rPr>
        <w:t>EuroVelo</w:t>
      </w:r>
      <w:proofErr w:type="spellEnd"/>
      <w:r w:rsidRPr="0086186A">
        <w:rPr>
          <w:rFonts w:ascii="Times New Roman" w:hAnsi="Times New Roman" w:cs="Times New Roman"/>
          <w:sz w:val="20"/>
          <w:szCs w:val="20"/>
          <w:lang w:val="hr-HR"/>
        </w:rPr>
        <w:t xml:space="preserve"> staze koje su podvrgnute značajnom razvoju. </w:t>
      </w:r>
      <w:proofErr w:type="spellStart"/>
      <w:r w:rsidRPr="0086186A">
        <w:rPr>
          <w:rFonts w:ascii="Times New Roman" w:hAnsi="Times New Roman" w:cs="Times New Roman"/>
          <w:sz w:val="20"/>
          <w:szCs w:val="20"/>
          <w:lang w:val="hr-HR"/>
        </w:rPr>
        <w:t>EuroVelo</w:t>
      </w:r>
      <w:proofErr w:type="spellEnd"/>
      <w:r w:rsidRPr="0086186A">
        <w:rPr>
          <w:rFonts w:ascii="Times New Roman" w:hAnsi="Times New Roman" w:cs="Times New Roman"/>
          <w:sz w:val="20"/>
          <w:szCs w:val="20"/>
          <w:lang w:val="hr-HR"/>
        </w:rPr>
        <w:t xml:space="preserve"> 6 proteže se duž Dunava, prelazi rijeku kod </w:t>
      </w:r>
      <w:proofErr w:type="spellStart"/>
      <w:r w:rsidRPr="0086186A">
        <w:rPr>
          <w:rFonts w:ascii="Times New Roman" w:hAnsi="Times New Roman" w:cs="Times New Roman"/>
          <w:sz w:val="20"/>
          <w:szCs w:val="20"/>
          <w:lang w:val="hr-HR"/>
        </w:rPr>
        <w:t>Mohača</w:t>
      </w:r>
      <w:proofErr w:type="spellEnd"/>
      <w:r w:rsidRPr="0086186A">
        <w:rPr>
          <w:rFonts w:ascii="Times New Roman" w:hAnsi="Times New Roman" w:cs="Times New Roman"/>
          <w:sz w:val="20"/>
          <w:szCs w:val="20"/>
          <w:lang w:val="hr-HR"/>
        </w:rPr>
        <w:t xml:space="preserve"> i nastavlja prema Vukovaru. </w:t>
      </w:r>
      <w:proofErr w:type="spellStart"/>
      <w:r w:rsidRPr="0086186A">
        <w:rPr>
          <w:rFonts w:ascii="Times New Roman" w:hAnsi="Times New Roman" w:cs="Times New Roman"/>
          <w:sz w:val="20"/>
          <w:szCs w:val="20"/>
          <w:lang w:val="hr-HR"/>
        </w:rPr>
        <w:t>EuroVelo</w:t>
      </w:r>
      <w:proofErr w:type="spellEnd"/>
      <w:r w:rsidRPr="0086186A">
        <w:rPr>
          <w:rFonts w:ascii="Times New Roman" w:hAnsi="Times New Roman" w:cs="Times New Roman"/>
          <w:sz w:val="20"/>
          <w:szCs w:val="20"/>
          <w:lang w:val="hr-HR"/>
        </w:rPr>
        <w:t xml:space="preserve"> 13 (Staza Željezne zavjese“ ide usporedno s granicom i graničnim rijekama: glavna trasa zapadno od </w:t>
      </w:r>
      <w:proofErr w:type="spellStart"/>
      <w:r w:rsidRPr="0086186A">
        <w:rPr>
          <w:rFonts w:ascii="Times New Roman" w:hAnsi="Times New Roman" w:cs="Times New Roman"/>
          <w:sz w:val="20"/>
          <w:szCs w:val="20"/>
          <w:lang w:val="hr-HR"/>
        </w:rPr>
        <w:t>Barča</w:t>
      </w:r>
      <w:proofErr w:type="spellEnd"/>
      <w:r w:rsidRPr="0086186A">
        <w:rPr>
          <w:rFonts w:ascii="Times New Roman" w:hAnsi="Times New Roman" w:cs="Times New Roman"/>
          <w:sz w:val="20"/>
          <w:szCs w:val="20"/>
          <w:lang w:val="hr-HR"/>
        </w:rPr>
        <w:t xml:space="preserve"> na hrvatskoj strani, zatim na mađarskoj strani nastavlja do </w:t>
      </w:r>
      <w:proofErr w:type="spellStart"/>
      <w:r w:rsidRPr="0086186A">
        <w:rPr>
          <w:rFonts w:ascii="Times New Roman" w:hAnsi="Times New Roman" w:cs="Times New Roman"/>
          <w:sz w:val="20"/>
          <w:szCs w:val="20"/>
          <w:lang w:val="hr-HR"/>
        </w:rPr>
        <w:t>Mohača</w:t>
      </w:r>
      <w:proofErr w:type="spellEnd"/>
      <w:r w:rsidRPr="0086186A">
        <w:rPr>
          <w:rFonts w:ascii="Times New Roman" w:hAnsi="Times New Roman" w:cs="Times New Roman"/>
          <w:sz w:val="20"/>
          <w:szCs w:val="20"/>
          <w:lang w:val="hr-HR"/>
        </w:rPr>
        <w:t xml:space="preserve">. </w:t>
      </w:r>
      <w:r w:rsidR="009A66E7" w:rsidRPr="0086186A">
        <w:rPr>
          <w:rFonts w:ascii="Times New Roman" w:hAnsi="Times New Roman" w:cs="Times New Roman"/>
          <w:sz w:val="20"/>
          <w:szCs w:val="20"/>
          <w:lang w:val="hr-HR"/>
        </w:rPr>
        <w:t xml:space="preserve">Staze se koriste različitim vrstama infrastrukture koja je korak po korak razvijena uz pomoć različitih europskih i nacionalnih fondova. Osim transkontinentalnih staza, značajan razvoj proveden je na biciklističkoj </w:t>
      </w:r>
      <w:r w:rsidR="00F84498" w:rsidRPr="0086186A">
        <w:rPr>
          <w:rFonts w:ascii="Times New Roman" w:hAnsi="Times New Roman" w:cs="Times New Roman"/>
          <w:sz w:val="20"/>
          <w:szCs w:val="20"/>
          <w:lang w:val="hr-HR"/>
        </w:rPr>
        <w:t>infrastrukturi</w:t>
      </w:r>
      <w:r w:rsidR="009A66E7" w:rsidRPr="0086186A">
        <w:rPr>
          <w:rFonts w:ascii="Times New Roman" w:hAnsi="Times New Roman" w:cs="Times New Roman"/>
          <w:sz w:val="20"/>
          <w:szCs w:val="20"/>
          <w:lang w:val="hr-HR"/>
        </w:rPr>
        <w:t xml:space="preserve"> na obje strane granice. Veći gradovi i područja oko njih opremljena su rastućom mrežom biciklističkih staza. Unatoč tome, brojne pojedine trase nisu spojene, mnoge staze ostaju neoznačene, nedostaje biciklistička </w:t>
      </w:r>
      <w:r w:rsidR="00F84498" w:rsidRPr="0086186A">
        <w:rPr>
          <w:rFonts w:ascii="Times New Roman" w:hAnsi="Times New Roman" w:cs="Times New Roman"/>
          <w:sz w:val="20"/>
          <w:szCs w:val="20"/>
          <w:lang w:val="hr-HR"/>
        </w:rPr>
        <w:t>infrastruktura</w:t>
      </w:r>
      <w:r w:rsidR="009A66E7" w:rsidRPr="0086186A">
        <w:rPr>
          <w:rFonts w:ascii="Times New Roman" w:hAnsi="Times New Roman" w:cs="Times New Roman"/>
          <w:sz w:val="20"/>
          <w:szCs w:val="20"/>
          <w:lang w:val="hr-HR"/>
        </w:rPr>
        <w:t xml:space="preserve"> kao što su biciklistička odmorišta, mostovi za pješake i bicikliste te dodatne prateće usluge duž staza kao što su smještajni i ugostiteljski objekti.</w:t>
      </w:r>
    </w:p>
    <w:p w14:paraId="34663A4E" w14:textId="50D785C5" w:rsidR="009A66E7" w:rsidRPr="0086186A" w:rsidRDefault="009A66E7" w:rsidP="00D8786F">
      <w:pPr>
        <w:pStyle w:val="BodyText"/>
        <w:ind w:left="170" w:right="135"/>
        <w:jc w:val="both"/>
        <w:rPr>
          <w:rFonts w:ascii="Times New Roman" w:hAnsi="Times New Roman" w:cs="Times New Roman"/>
          <w:sz w:val="20"/>
          <w:szCs w:val="20"/>
          <w:lang w:val="hr-HR"/>
        </w:rPr>
      </w:pPr>
    </w:p>
    <w:p w14:paraId="7733C2AF" w14:textId="7C201B88" w:rsidR="009A66E7" w:rsidRPr="0086186A" w:rsidRDefault="009A66E7" w:rsidP="00D8786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S obzirom na zračni promet, najrazvijenija zračna luka u pograničnom području je Zračna luka Osijek, koja</w:t>
      </w:r>
      <w:r w:rsidR="00F968EF" w:rsidRPr="0086186A">
        <w:rPr>
          <w:rFonts w:ascii="Times New Roman" w:hAnsi="Times New Roman" w:cs="Times New Roman"/>
          <w:sz w:val="20"/>
          <w:szCs w:val="20"/>
          <w:lang w:val="hr-HR"/>
        </w:rPr>
        <w:t xml:space="preserve"> opslužuje i redovne i čarter letove, uglavnom sezonske. Na mađarskoj je strani Međunarodna zračna luka </w:t>
      </w:r>
      <w:proofErr w:type="spellStart"/>
      <w:r w:rsidR="00F968EF" w:rsidRPr="0086186A">
        <w:rPr>
          <w:rFonts w:ascii="Times New Roman" w:hAnsi="Times New Roman" w:cs="Times New Roman"/>
          <w:sz w:val="20"/>
          <w:szCs w:val="20"/>
          <w:lang w:val="hr-HR"/>
        </w:rPr>
        <w:t>Hévíz</w:t>
      </w:r>
      <w:proofErr w:type="spellEnd"/>
      <w:r w:rsidR="00F968EF" w:rsidRPr="0086186A">
        <w:rPr>
          <w:rFonts w:ascii="Times New Roman" w:hAnsi="Times New Roman" w:cs="Times New Roman"/>
          <w:sz w:val="20"/>
          <w:szCs w:val="20"/>
          <w:lang w:val="hr-HR"/>
        </w:rPr>
        <w:t>-Balaton najvažnija zračna luka koja opslužuje sezonske čarter letove. Sljedeća međunarodna zračna luka je Pečuh-</w:t>
      </w:r>
      <w:proofErr w:type="spellStart"/>
      <w:r w:rsidR="00F968EF" w:rsidRPr="0086186A">
        <w:rPr>
          <w:rFonts w:ascii="Times New Roman" w:hAnsi="Times New Roman" w:cs="Times New Roman"/>
          <w:sz w:val="20"/>
          <w:szCs w:val="20"/>
          <w:lang w:val="hr-HR"/>
        </w:rPr>
        <w:t>Pogány</w:t>
      </w:r>
      <w:proofErr w:type="spellEnd"/>
      <w:r w:rsidR="00F968EF" w:rsidRPr="0086186A">
        <w:rPr>
          <w:rFonts w:ascii="Times New Roman" w:hAnsi="Times New Roman" w:cs="Times New Roman"/>
          <w:sz w:val="20"/>
          <w:szCs w:val="20"/>
          <w:lang w:val="hr-HR"/>
        </w:rPr>
        <w:t>, koja opslužuje isključivo male privatne mlažnjake.</w:t>
      </w:r>
    </w:p>
    <w:p w14:paraId="76CD1FAC" w14:textId="3644FFA6" w:rsidR="00F968EF" w:rsidRPr="0086186A" w:rsidRDefault="00F968EF" w:rsidP="00D8786F">
      <w:pPr>
        <w:pStyle w:val="BodyText"/>
        <w:ind w:left="170" w:right="135"/>
        <w:jc w:val="both"/>
        <w:rPr>
          <w:rFonts w:ascii="Times New Roman" w:hAnsi="Times New Roman" w:cs="Times New Roman"/>
          <w:sz w:val="20"/>
          <w:szCs w:val="20"/>
          <w:lang w:val="hr-HR"/>
        </w:rPr>
      </w:pPr>
    </w:p>
    <w:p w14:paraId="0841C021" w14:textId="7D1D0542" w:rsidR="00F968EF" w:rsidRPr="0086186A" w:rsidRDefault="00F968EF" w:rsidP="00F968E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Vodeni prijevoz relevantan je samo za istočni dio programskog područja, koji ima pristup Dunavu i jednom dijelu Drave. Dunav je dio središnje mreže TEN-T (koridor VII.). Na mađarskoj strani </w:t>
      </w:r>
      <w:proofErr w:type="spellStart"/>
      <w:r w:rsidRPr="0086186A">
        <w:rPr>
          <w:rFonts w:ascii="Times New Roman" w:hAnsi="Times New Roman" w:cs="Times New Roman"/>
          <w:sz w:val="20"/>
          <w:szCs w:val="20"/>
          <w:lang w:val="hr-HR"/>
        </w:rPr>
        <w:t>Mohač</w:t>
      </w:r>
      <w:proofErr w:type="spellEnd"/>
      <w:r w:rsidRPr="0086186A">
        <w:rPr>
          <w:rFonts w:ascii="Times New Roman" w:hAnsi="Times New Roman" w:cs="Times New Roman"/>
          <w:sz w:val="20"/>
          <w:szCs w:val="20"/>
          <w:lang w:val="hr-HR"/>
        </w:rPr>
        <w:t xml:space="preserve"> ima status javne luke, s nekoliko javnih i privatnih dokova, uglavnom prilagođenih rasutom teretu, no u planu je njezina nadogradnja. </w:t>
      </w:r>
      <w:proofErr w:type="spellStart"/>
      <w:r w:rsidRPr="0086186A">
        <w:rPr>
          <w:rFonts w:ascii="Times New Roman" w:hAnsi="Times New Roman" w:cs="Times New Roman"/>
          <w:sz w:val="20"/>
          <w:szCs w:val="20"/>
          <w:lang w:val="hr-HR"/>
        </w:rPr>
        <w:t>Mohač</w:t>
      </w:r>
      <w:proofErr w:type="spellEnd"/>
      <w:r w:rsidRPr="0086186A">
        <w:rPr>
          <w:rFonts w:ascii="Times New Roman" w:hAnsi="Times New Roman" w:cs="Times New Roman"/>
          <w:sz w:val="20"/>
          <w:szCs w:val="20"/>
          <w:lang w:val="hr-HR"/>
        </w:rPr>
        <w:t xml:space="preserve"> je ujedno šengenski granični prijelaz na Dunavu prema Hrvatskoj i Srbiji. Na hrvatskoj je strani Vukovar </w:t>
      </w:r>
      <w:r w:rsidR="001B2C6A" w:rsidRPr="0086186A">
        <w:rPr>
          <w:rFonts w:ascii="Times New Roman" w:hAnsi="Times New Roman" w:cs="Times New Roman"/>
          <w:sz w:val="20"/>
          <w:szCs w:val="20"/>
          <w:lang w:val="hr-HR"/>
        </w:rPr>
        <w:t xml:space="preserve">značajna riječna luka u kojoj je u tijeku značajan razvoj. Turističke luke manjih kapaciteta uspostavljene su u Batini, Aljmašu i Iloku. U riječnom prometu preko granice opaža se stalan pad, no s obzirom na turistička plovila promet raste od 2014. Granična rijeka Mura nije plovna za normalna putnička plovila. Drava je plovna od </w:t>
      </w:r>
      <w:proofErr w:type="spellStart"/>
      <w:r w:rsidR="001B2C6A" w:rsidRPr="0086186A">
        <w:rPr>
          <w:rFonts w:ascii="Times New Roman" w:hAnsi="Times New Roman" w:cs="Times New Roman"/>
          <w:sz w:val="20"/>
          <w:szCs w:val="20"/>
          <w:lang w:val="hr-HR"/>
        </w:rPr>
        <w:t>Barča</w:t>
      </w:r>
      <w:proofErr w:type="spellEnd"/>
      <w:r w:rsidR="001B2C6A" w:rsidRPr="0086186A">
        <w:rPr>
          <w:rFonts w:ascii="Times New Roman" w:hAnsi="Times New Roman" w:cs="Times New Roman"/>
          <w:sz w:val="20"/>
          <w:szCs w:val="20"/>
          <w:lang w:val="hr-HR"/>
        </w:rPr>
        <w:t xml:space="preserve"> do Osijeka samo za mala plovila, a od Osijeka do Aljmaša i za veće riječne brodove. Osijek ima status međunarodne luke na Dravi, a daljnje manje luke uključuju </w:t>
      </w:r>
      <w:proofErr w:type="spellStart"/>
      <w:r w:rsidR="001B2C6A" w:rsidRPr="0086186A">
        <w:rPr>
          <w:rFonts w:ascii="Times New Roman" w:hAnsi="Times New Roman" w:cs="Times New Roman"/>
          <w:sz w:val="20"/>
          <w:szCs w:val="20"/>
          <w:lang w:val="hr-HR"/>
        </w:rPr>
        <w:t>Barč</w:t>
      </w:r>
      <w:proofErr w:type="spellEnd"/>
      <w:r w:rsidR="001B2C6A" w:rsidRPr="0086186A">
        <w:rPr>
          <w:rFonts w:ascii="Times New Roman" w:hAnsi="Times New Roman" w:cs="Times New Roman"/>
          <w:sz w:val="20"/>
          <w:szCs w:val="20"/>
          <w:lang w:val="hr-HR"/>
        </w:rPr>
        <w:t xml:space="preserve">, </w:t>
      </w:r>
      <w:proofErr w:type="spellStart"/>
      <w:r w:rsidR="001B2C6A" w:rsidRPr="0086186A">
        <w:rPr>
          <w:rFonts w:ascii="Times New Roman" w:hAnsi="Times New Roman" w:cs="Times New Roman"/>
          <w:sz w:val="20"/>
          <w:szCs w:val="20"/>
          <w:lang w:val="hr-HR"/>
        </w:rPr>
        <w:t>Drávaszabolcs</w:t>
      </w:r>
      <w:proofErr w:type="spellEnd"/>
      <w:r w:rsidR="001B2C6A" w:rsidRPr="0086186A">
        <w:rPr>
          <w:rFonts w:ascii="Times New Roman" w:hAnsi="Times New Roman" w:cs="Times New Roman"/>
          <w:sz w:val="20"/>
          <w:szCs w:val="20"/>
          <w:lang w:val="hr-HR"/>
        </w:rPr>
        <w:t xml:space="preserve"> i Belišće.</w:t>
      </w:r>
    </w:p>
    <w:p w14:paraId="5D5FA418" w14:textId="392714F2" w:rsidR="001B2C6A" w:rsidRPr="0086186A" w:rsidRDefault="001B2C6A" w:rsidP="00F968EF">
      <w:pPr>
        <w:pStyle w:val="BodyText"/>
        <w:ind w:left="170" w:right="135"/>
        <w:jc w:val="both"/>
        <w:rPr>
          <w:rFonts w:ascii="Times New Roman" w:hAnsi="Times New Roman" w:cs="Times New Roman"/>
          <w:sz w:val="20"/>
          <w:szCs w:val="20"/>
          <w:lang w:val="hr-HR"/>
        </w:rPr>
      </w:pPr>
    </w:p>
    <w:p w14:paraId="2B5B54CB" w14:textId="47C32E33" w:rsidR="001B2C6A" w:rsidRPr="0086186A" w:rsidRDefault="001B2C6A" w:rsidP="00F968E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Fizička </w:t>
      </w:r>
      <w:proofErr w:type="spellStart"/>
      <w:r w:rsidRPr="0086186A">
        <w:rPr>
          <w:rFonts w:ascii="Times New Roman" w:hAnsi="Times New Roman" w:cs="Times New Roman"/>
          <w:sz w:val="20"/>
          <w:szCs w:val="20"/>
          <w:lang w:val="hr-HR"/>
        </w:rPr>
        <w:t>povezivost</w:t>
      </w:r>
      <w:proofErr w:type="spellEnd"/>
      <w:r w:rsidRPr="0086186A">
        <w:rPr>
          <w:rFonts w:ascii="Times New Roman" w:hAnsi="Times New Roman" w:cs="Times New Roman"/>
          <w:sz w:val="20"/>
          <w:szCs w:val="20"/>
          <w:lang w:val="hr-HR"/>
        </w:rPr>
        <w:t xml:space="preserve"> regije može se unaprijediti bilateralnim političkim sporazumima na razini vladâ, koji su izvan opsega ograničenog prekograničnog instrumenta za financiranje.</w:t>
      </w:r>
    </w:p>
    <w:p w14:paraId="25D0321F" w14:textId="3F1F8FB3" w:rsidR="001B2C6A" w:rsidRPr="0086186A" w:rsidRDefault="001B2C6A" w:rsidP="00F968EF">
      <w:pPr>
        <w:pStyle w:val="BodyText"/>
        <w:ind w:left="170" w:right="135"/>
        <w:jc w:val="both"/>
        <w:rPr>
          <w:rFonts w:ascii="Times New Roman" w:hAnsi="Times New Roman" w:cs="Times New Roman"/>
          <w:sz w:val="20"/>
          <w:szCs w:val="20"/>
          <w:lang w:val="hr-HR"/>
        </w:rPr>
      </w:pPr>
    </w:p>
    <w:p w14:paraId="38D8A7F6" w14:textId="59333FF5" w:rsidR="001B2C6A" w:rsidRPr="0086186A" w:rsidRDefault="001B2C6A" w:rsidP="00F968EF">
      <w:pPr>
        <w:pStyle w:val="BodyText"/>
        <w:ind w:left="170" w:right="135"/>
        <w:jc w:val="both"/>
        <w:rPr>
          <w:rFonts w:ascii="Times New Roman" w:hAnsi="Times New Roman" w:cs="Times New Roman"/>
          <w:i/>
          <w:iCs/>
          <w:sz w:val="20"/>
          <w:szCs w:val="20"/>
          <w:lang w:val="hr-HR"/>
        </w:rPr>
      </w:pPr>
      <w:r w:rsidRPr="0086186A">
        <w:rPr>
          <w:rFonts w:ascii="Times New Roman" w:hAnsi="Times New Roman" w:cs="Times New Roman"/>
          <w:i/>
          <w:iCs/>
          <w:sz w:val="20"/>
          <w:szCs w:val="20"/>
          <w:lang w:val="hr-HR"/>
        </w:rPr>
        <w:t>Socijalna uključenost</w:t>
      </w:r>
    </w:p>
    <w:p w14:paraId="1E296F0D" w14:textId="3695FF6B" w:rsidR="001B2C6A" w:rsidRPr="0086186A" w:rsidRDefault="001B2C6A" w:rsidP="00F968EF">
      <w:pPr>
        <w:pStyle w:val="BodyText"/>
        <w:ind w:left="170" w:right="135"/>
        <w:jc w:val="both"/>
        <w:rPr>
          <w:rFonts w:ascii="Times New Roman" w:hAnsi="Times New Roman" w:cs="Times New Roman"/>
          <w:sz w:val="20"/>
          <w:szCs w:val="20"/>
          <w:lang w:val="hr-HR"/>
        </w:rPr>
      </w:pPr>
    </w:p>
    <w:p w14:paraId="33748077" w14:textId="4C3B9F35" w:rsidR="001B2C6A" w:rsidRPr="0086186A" w:rsidRDefault="001B2C6A" w:rsidP="00F968E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Pogranično područje obilježeno je negativnom promjenom stanovništva, negativnom neto migracijom, nepovoljnim dobnim profilom i odljevom mozgova: mlado i obrazovano stanovništvo emigrira u ostale države članice EU-a ili izvan EU-a. Stope zaposlenja dobne skupine od 20 do 64 godine starosti iznose 77,9% u zapadnom Podunavlju, 69,4% u južnom Podunavlju i 66,4% u kontinentalnoj Hrvatskoj, dok je europski prosjek </w:t>
      </w:r>
      <w:r w:rsidR="00DA008C" w:rsidRPr="0086186A">
        <w:rPr>
          <w:rFonts w:ascii="Times New Roman" w:hAnsi="Times New Roman" w:cs="Times New Roman"/>
          <w:sz w:val="20"/>
          <w:szCs w:val="20"/>
          <w:lang w:val="hr-HR"/>
        </w:rPr>
        <w:t>73</w:t>
      </w:r>
      <w:r w:rsidRPr="0086186A">
        <w:rPr>
          <w:rFonts w:ascii="Times New Roman" w:hAnsi="Times New Roman" w:cs="Times New Roman"/>
          <w:sz w:val="20"/>
          <w:szCs w:val="20"/>
          <w:lang w:val="hr-HR"/>
        </w:rPr>
        <w:t>,</w:t>
      </w:r>
      <w:r w:rsidR="00DA008C" w:rsidRPr="0086186A">
        <w:rPr>
          <w:rFonts w:ascii="Times New Roman" w:hAnsi="Times New Roman" w:cs="Times New Roman"/>
          <w:sz w:val="20"/>
          <w:szCs w:val="20"/>
          <w:lang w:val="hr-HR"/>
        </w:rPr>
        <w:t>2</w:t>
      </w:r>
      <w:r w:rsidRPr="0086186A">
        <w:rPr>
          <w:rFonts w:ascii="Times New Roman" w:hAnsi="Times New Roman" w:cs="Times New Roman"/>
          <w:sz w:val="20"/>
          <w:szCs w:val="20"/>
          <w:lang w:val="hr-HR"/>
        </w:rPr>
        <w:t>%.</w:t>
      </w:r>
      <w:r w:rsidR="00102B0C" w:rsidRPr="0086186A">
        <w:rPr>
          <w:rFonts w:ascii="Times New Roman" w:hAnsi="Times New Roman" w:cs="Times New Roman"/>
          <w:sz w:val="20"/>
          <w:szCs w:val="20"/>
          <w:lang w:val="hr-HR"/>
        </w:rPr>
        <w:t xml:space="preserve"> Gospodarski rast i emigracija posljednjih godina doveli su do smanjenja stope nezaposlenosti u Hrvatskoj. Dugoročna nezaposlenost za 2018. tek je nešto viša u kontinentalnoj Hrvatskoj (3,3%) od </w:t>
      </w:r>
      <w:r w:rsidR="00102B0C" w:rsidRPr="0086186A">
        <w:rPr>
          <w:rFonts w:ascii="Times New Roman" w:hAnsi="Times New Roman" w:cs="Times New Roman"/>
          <w:sz w:val="20"/>
          <w:szCs w:val="20"/>
          <w:lang w:val="hr-HR"/>
        </w:rPr>
        <w:lastRenderedPageBreak/>
        <w:t xml:space="preserve">europskog prosjeka (2,4%). Stope su niže u Mađarskoj u usporedbi s EU-om, odnosno 0,6% u zapadnom Podunavlju i 2,0% u južnom Podunavlju. Najviše stope slobodnih radnih mjesta pronalaze se u sektorima „proizvodnje“, „djelatnosti </w:t>
      </w:r>
      <w:r w:rsidR="00F84498" w:rsidRPr="0086186A">
        <w:rPr>
          <w:rFonts w:ascii="Times New Roman" w:hAnsi="Times New Roman" w:cs="Times New Roman"/>
          <w:sz w:val="20"/>
          <w:szCs w:val="20"/>
          <w:lang w:val="hr-HR"/>
        </w:rPr>
        <w:t>administracije</w:t>
      </w:r>
      <w:r w:rsidR="00102B0C" w:rsidRPr="0086186A">
        <w:rPr>
          <w:rFonts w:ascii="Times New Roman" w:hAnsi="Times New Roman" w:cs="Times New Roman"/>
          <w:sz w:val="20"/>
          <w:szCs w:val="20"/>
          <w:lang w:val="hr-HR"/>
        </w:rPr>
        <w:t xml:space="preserve"> i podrške“ i „umjetnosti, zabave i rekreacije“ u zapadnom Podunavlju te sektorima „obrazovanja“ i „djelatnosti administracije i podrške“ u južnom Podunavlju. Prema podacima na nacionalnoj razini za Hrvatsku, </w:t>
      </w:r>
      <w:r w:rsidR="00F84498" w:rsidRPr="0086186A">
        <w:rPr>
          <w:rFonts w:ascii="Times New Roman" w:hAnsi="Times New Roman" w:cs="Times New Roman"/>
          <w:sz w:val="20"/>
          <w:szCs w:val="20"/>
          <w:lang w:val="hr-HR"/>
        </w:rPr>
        <w:t>najviša</w:t>
      </w:r>
      <w:r w:rsidR="00102B0C" w:rsidRPr="0086186A">
        <w:rPr>
          <w:rFonts w:ascii="Times New Roman" w:hAnsi="Times New Roman" w:cs="Times New Roman"/>
          <w:sz w:val="20"/>
          <w:szCs w:val="20"/>
          <w:lang w:val="hr-HR"/>
        </w:rPr>
        <w:t xml:space="preserve"> stopa slobodnih radnih mjesta je u sektorima „djelatnosti smještaja i usluživanja hrane“ i „javne uprave i obrane; obvezne socijalne sigurnosti“.</w:t>
      </w:r>
    </w:p>
    <w:p w14:paraId="0F1A23C9" w14:textId="78DB9F72" w:rsidR="00102B0C" w:rsidRPr="0086186A" w:rsidRDefault="00102B0C" w:rsidP="00F968EF">
      <w:pPr>
        <w:pStyle w:val="BodyText"/>
        <w:ind w:left="170" w:right="135"/>
        <w:jc w:val="both"/>
        <w:rPr>
          <w:rFonts w:ascii="Times New Roman" w:hAnsi="Times New Roman" w:cs="Times New Roman"/>
          <w:sz w:val="20"/>
          <w:szCs w:val="20"/>
          <w:lang w:val="hr-HR"/>
        </w:rPr>
      </w:pPr>
    </w:p>
    <w:p w14:paraId="1C80D8EB" w14:textId="310B5AB9" w:rsidR="00102B0C" w:rsidRPr="0086186A" w:rsidRDefault="00102B0C" w:rsidP="00F968E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U županijama </w:t>
      </w:r>
      <w:proofErr w:type="spellStart"/>
      <w:r w:rsidRPr="0086186A">
        <w:rPr>
          <w:rFonts w:ascii="Times New Roman" w:hAnsi="Times New Roman" w:cs="Times New Roman"/>
          <w:sz w:val="20"/>
          <w:szCs w:val="20"/>
          <w:lang w:val="hr-HR"/>
        </w:rPr>
        <w:t>Baranyji</w:t>
      </w:r>
      <w:proofErr w:type="spellEnd"/>
      <w:r w:rsidRPr="0086186A">
        <w:rPr>
          <w:rFonts w:ascii="Times New Roman" w:hAnsi="Times New Roman" w:cs="Times New Roman"/>
          <w:sz w:val="20"/>
          <w:szCs w:val="20"/>
          <w:lang w:val="hr-HR"/>
        </w:rPr>
        <w:t xml:space="preserve"> (6,9%) i </w:t>
      </w:r>
      <w:proofErr w:type="spellStart"/>
      <w:r w:rsidRPr="0086186A">
        <w:rPr>
          <w:rFonts w:ascii="Times New Roman" w:hAnsi="Times New Roman" w:cs="Times New Roman"/>
          <w:sz w:val="20"/>
          <w:szCs w:val="20"/>
          <w:lang w:val="hr-HR"/>
        </w:rPr>
        <w:t>Somogyju</w:t>
      </w:r>
      <w:proofErr w:type="spellEnd"/>
      <w:r w:rsidRPr="0086186A">
        <w:rPr>
          <w:rFonts w:ascii="Times New Roman" w:hAnsi="Times New Roman" w:cs="Times New Roman"/>
          <w:sz w:val="20"/>
          <w:szCs w:val="20"/>
          <w:lang w:val="hr-HR"/>
        </w:rPr>
        <w:t xml:space="preserve"> (6,3%) nezaposlenost je problematična jer stopa daleko premašuje nacionalni prosjek (3,7% u 2018.), no ispod je prosjeka EU-27. Najpovoljnija situacija je u </w:t>
      </w:r>
      <w:r w:rsidR="00933CF3" w:rsidRPr="0086186A">
        <w:rPr>
          <w:rFonts w:ascii="Times New Roman" w:hAnsi="Times New Roman" w:cs="Times New Roman"/>
          <w:sz w:val="20"/>
          <w:szCs w:val="20"/>
          <w:lang w:val="hr-HR"/>
        </w:rPr>
        <w:t>županiji</w:t>
      </w:r>
      <w:r w:rsidRPr="0086186A">
        <w:rPr>
          <w:rFonts w:ascii="Times New Roman" w:hAnsi="Times New Roman" w:cs="Times New Roman"/>
          <w:sz w:val="20"/>
          <w:szCs w:val="20"/>
          <w:lang w:val="hr-HR"/>
        </w:rPr>
        <w:t xml:space="preserve"> Zala zbog blizine</w:t>
      </w:r>
      <w:r w:rsidR="00933CF3" w:rsidRPr="0086186A">
        <w:rPr>
          <w:rFonts w:ascii="Times New Roman" w:hAnsi="Times New Roman" w:cs="Times New Roman"/>
          <w:sz w:val="20"/>
          <w:szCs w:val="20"/>
          <w:lang w:val="hr-HR"/>
        </w:rPr>
        <w:t xml:space="preserve"> te županije austrijskom tržištu rada. U hrvatskom dijelu programskog područja izmjerena je viša stopa nezaposlenosti. Međutim, razlike između najzapadnijeg dijela i istočnog dijela ogromne su. Kao u Mađarskoj, postoji trend pada nezaposlenosti zbog emigracije mlađeg stanovništva u zapadne europske države. Prekograničnih putovanja na posao nema u značajnoj mjeri zbog nedostatka velikih poslodavaca. Nepoznavanje jezika također predstavlja ključnu prepreku.</w:t>
      </w:r>
    </w:p>
    <w:p w14:paraId="1BA428E0" w14:textId="03C0DFA9" w:rsidR="00933CF3" w:rsidRPr="0086186A" w:rsidRDefault="00933CF3" w:rsidP="00F968EF">
      <w:pPr>
        <w:pStyle w:val="BodyText"/>
        <w:ind w:left="170" w:right="135"/>
        <w:jc w:val="both"/>
        <w:rPr>
          <w:rFonts w:ascii="Times New Roman" w:hAnsi="Times New Roman" w:cs="Times New Roman"/>
          <w:sz w:val="20"/>
          <w:szCs w:val="20"/>
          <w:lang w:val="hr-HR"/>
        </w:rPr>
      </w:pPr>
    </w:p>
    <w:p w14:paraId="19511869" w14:textId="0E7BF1A8" w:rsidR="00933CF3" w:rsidRPr="0086186A" w:rsidRDefault="00933CF3" w:rsidP="00F968E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Može se reći da produktivnost rada zaostaje za europskim prosjekom (EU: 100,1; Hrvatska: 72,2; Mađarska 69,4), što je ozbiljan problem koji utječe na ukupnu konkurentnost obiju država.</w:t>
      </w:r>
      <w:r w:rsidR="004A11F4" w:rsidRPr="0086186A">
        <w:rPr>
          <w:rFonts w:ascii="Times New Roman" w:hAnsi="Times New Roman" w:cs="Times New Roman"/>
          <w:sz w:val="20"/>
          <w:szCs w:val="20"/>
          <w:lang w:val="hr-HR"/>
        </w:rPr>
        <w:t xml:space="preserve"> U Hrvatskoj postoji zamjetljiv nesrazmjer između tržišta rada i obrazovnog sustava, što se odražava u činjenici da su većina nezaposlenih oni s 1 – 3 godine strukovnog obrazovanja. Unatoč visokoj stopi nezaposlenosti u nekim profesijama postoji nedostatak radne snage. prema dostupnim podacima, stopa aktivnosti radne snage u Hrvatskoj porasla je sa 48,8% u 2007. na 51,6% u 2017. Opaža se jačanje aktivnosti starije radne snage. U Mađarskoj, slično kao i u Hrvatskoj, neusklađenost vještina pojačava se  emigracijom te odljevom mozgova bolje obrazovanih, slabim šansama na tržištu rada za </w:t>
      </w:r>
      <w:r w:rsidR="00F84498" w:rsidRPr="0086186A">
        <w:rPr>
          <w:rFonts w:ascii="Times New Roman" w:hAnsi="Times New Roman" w:cs="Times New Roman"/>
          <w:sz w:val="20"/>
          <w:szCs w:val="20"/>
          <w:lang w:val="hr-HR"/>
        </w:rPr>
        <w:t>niže obrazovane</w:t>
      </w:r>
      <w:r w:rsidR="004A11F4" w:rsidRPr="0086186A">
        <w:rPr>
          <w:rFonts w:ascii="Times New Roman" w:hAnsi="Times New Roman" w:cs="Times New Roman"/>
          <w:sz w:val="20"/>
          <w:szCs w:val="20"/>
          <w:lang w:val="hr-HR"/>
        </w:rPr>
        <w:t xml:space="preserve"> i teže </w:t>
      </w:r>
      <w:proofErr w:type="spellStart"/>
      <w:r w:rsidR="004A11F4" w:rsidRPr="0086186A">
        <w:rPr>
          <w:rFonts w:ascii="Times New Roman" w:hAnsi="Times New Roman" w:cs="Times New Roman"/>
          <w:sz w:val="20"/>
          <w:szCs w:val="20"/>
          <w:lang w:val="hr-HR"/>
        </w:rPr>
        <w:t>zapošljive</w:t>
      </w:r>
      <w:proofErr w:type="spellEnd"/>
      <w:r w:rsidR="004A11F4" w:rsidRPr="0086186A">
        <w:rPr>
          <w:rFonts w:ascii="Times New Roman" w:hAnsi="Times New Roman" w:cs="Times New Roman"/>
          <w:sz w:val="20"/>
          <w:szCs w:val="20"/>
          <w:lang w:val="hr-HR"/>
        </w:rPr>
        <w:t xml:space="preserve"> skupine.</w:t>
      </w:r>
    </w:p>
    <w:p w14:paraId="5FFD06C8" w14:textId="6B7FBF30" w:rsidR="004A11F4" w:rsidRPr="0086186A" w:rsidRDefault="004A11F4" w:rsidP="00F968EF">
      <w:pPr>
        <w:pStyle w:val="BodyText"/>
        <w:ind w:left="170" w:right="135"/>
        <w:jc w:val="both"/>
        <w:rPr>
          <w:rFonts w:ascii="Times New Roman" w:hAnsi="Times New Roman" w:cs="Times New Roman"/>
          <w:sz w:val="20"/>
          <w:szCs w:val="20"/>
          <w:lang w:val="hr-HR"/>
        </w:rPr>
      </w:pPr>
    </w:p>
    <w:p w14:paraId="1ED67493" w14:textId="1A62E361" w:rsidR="004A11F4" w:rsidRPr="0086186A" w:rsidRDefault="004A11F4" w:rsidP="00F968E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OECD-ovim Programom za međunarodnu procjenu znanja i vještina učenika (</w:t>
      </w:r>
      <w:proofErr w:type="spellStart"/>
      <w:r w:rsidRPr="0086186A">
        <w:rPr>
          <w:rFonts w:ascii="Times New Roman" w:hAnsi="Times New Roman" w:cs="Times New Roman"/>
          <w:sz w:val="20"/>
          <w:szCs w:val="20"/>
          <w:lang w:val="hr-HR"/>
        </w:rPr>
        <w:t>PISA</w:t>
      </w:r>
      <w:proofErr w:type="spellEnd"/>
      <w:r w:rsidRPr="0086186A">
        <w:rPr>
          <w:rFonts w:ascii="Times New Roman" w:hAnsi="Times New Roman" w:cs="Times New Roman"/>
          <w:sz w:val="20"/>
          <w:szCs w:val="20"/>
          <w:lang w:val="hr-HR"/>
        </w:rPr>
        <w:t>) procjenjuje se koliko su 14-godišnji i 15-godišnji učenici (na kraju obveznog obrazovanja) stekli ključna znanja i vještine koji su bitni za puno sudjelovanje u modernim društvima. Fokus procjene je na temeljne školske predmete prirode i društva, čitanja i matematike.</w:t>
      </w:r>
      <w:r w:rsidR="002221D3" w:rsidRPr="0086186A">
        <w:rPr>
          <w:rFonts w:ascii="Times New Roman" w:hAnsi="Times New Roman" w:cs="Times New Roman"/>
          <w:sz w:val="20"/>
          <w:szCs w:val="20"/>
          <w:lang w:val="hr-HR"/>
        </w:rPr>
        <w:t xml:space="preserve"> U sve tri ispitane vještine učenici zaostaju u obje države. U posljednjoj procjeni (2018.) uspješnost učenika u čitanju (prosječni rezultat) iznosio je 98% prosjeka OECD-a u Hrvatskoj i u Mađarskoj. Uspješnost učenika u matematici bila je 95% u Hrvatskoj i 98% u Mađarskoj. Uspješnost učenika u prirodi i društvu bila je 96% u Hrvatskoj i 98% u Mađarskoj. Razlike u uspješnosti između 90. i 10. percentila (u bodovima) viša je u Mađarskoj. Razlike u uspješnosti šire su u školama u manjim naseljima u pograničnom području.</w:t>
      </w:r>
    </w:p>
    <w:p w14:paraId="5EB9B5CF" w14:textId="1580C189" w:rsidR="002221D3" w:rsidRPr="0086186A" w:rsidRDefault="002221D3" w:rsidP="00F968EF">
      <w:pPr>
        <w:pStyle w:val="BodyText"/>
        <w:ind w:left="170" w:right="135"/>
        <w:jc w:val="both"/>
        <w:rPr>
          <w:rFonts w:ascii="Times New Roman" w:hAnsi="Times New Roman" w:cs="Times New Roman"/>
          <w:sz w:val="20"/>
          <w:szCs w:val="20"/>
          <w:lang w:val="hr-HR"/>
        </w:rPr>
      </w:pPr>
    </w:p>
    <w:p w14:paraId="078D5780" w14:textId="6B67A46A" w:rsidR="002221D3" w:rsidRPr="0086186A" w:rsidRDefault="002221D3" w:rsidP="00F968E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Organizacija institucionalnog obrazovnog sustava različita je u Mađarskoj i Hrvatskoj. Dok je u Hrvatskoj osnovno i srednje školstvo odgovornost lokalnih i regionalnih (županijskih) uprava, u Mađarskoj je država dominantni pružatelj usluga kroz Centar </w:t>
      </w:r>
      <w:proofErr w:type="spellStart"/>
      <w:r w:rsidRPr="0086186A">
        <w:rPr>
          <w:rFonts w:ascii="Times New Roman" w:hAnsi="Times New Roman" w:cs="Times New Roman"/>
          <w:sz w:val="20"/>
          <w:szCs w:val="20"/>
          <w:lang w:val="hr-HR"/>
        </w:rPr>
        <w:t>Klebelsberg</w:t>
      </w:r>
      <w:proofErr w:type="spellEnd"/>
      <w:r w:rsidRPr="0086186A">
        <w:rPr>
          <w:rFonts w:ascii="Times New Roman" w:hAnsi="Times New Roman" w:cs="Times New Roman"/>
          <w:sz w:val="20"/>
          <w:szCs w:val="20"/>
          <w:lang w:val="hr-HR"/>
        </w:rPr>
        <w:t xml:space="preserve"> pod okriljem Ministra ljudskih kapaciteta, a strukovno obrazovanje koordinira se kroz strukovne centre pod okriljem odgovarajućih resornih ministarstava.</w:t>
      </w:r>
      <w:r w:rsidR="00EB34EB" w:rsidRPr="0086186A">
        <w:rPr>
          <w:rFonts w:ascii="Times New Roman" w:hAnsi="Times New Roman" w:cs="Times New Roman"/>
          <w:sz w:val="20"/>
          <w:szCs w:val="20"/>
          <w:lang w:val="hr-HR"/>
        </w:rPr>
        <w:t xml:space="preserve"> Zbog nedostatka financijskih kapaciteta održavatelja, javne školske ustanove često pate zbog loših fizičkih uvjeta i neprikladne opreme, koji utječu na kvalitetu obrazovanja i jednake šanse učenika iz pograničnih područja koji zaostaju.</w:t>
      </w:r>
    </w:p>
    <w:p w14:paraId="021B5E96" w14:textId="6F085F81" w:rsidR="00EB34EB" w:rsidRPr="0086186A" w:rsidRDefault="00EB34EB" w:rsidP="00F968EF">
      <w:pPr>
        <w:pStyle w:val="BodyText"/>
        <w:ind w:left="170" w:right="135"/>
        <w:jc w:val="both"/>
        <w:rPr>
          <w:rFonts w:ascii="Times New Roman" w:hAnsi="Times New Roman" w:cs="Times New Roman"/>
          <w:sz w:val="20"/>
          <w:szCs w:val="20"/>
          <w:lang w:val="hr-HR"/>
        </w:rPr>
      </w:pPr>
    </w:p>
    <w:p w14:paraId="2F44CEDA" w14:textId="485CAF02" w:rsidR="00EB34EB" w:rsidRPr="0086186A" w:rsidRDefault="00EB34EB" w:rsidP="00F968E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Sveučilištima u Hrvatskoj upravlja </w:t>
      </w:r>
      <w:r w:rsidR="00F84498" w:rsidRPr="0086186A">
        <w:rPr>
          <w:rFonts w:ascii="Times New Roman" w:hAnsi="Times New Roman" w:cs="Times New Roman"/>
          <w:sz w:val="20"/>
          <w:szCs w:val="20"/>
          <w:lang w:val="hr-HR"/>
        </w:rPr>
        <w:t>država</w:t>
      </w:r>
      <w:r w:rsidRPr="0086186A">
        <w:rPr>
          <w:rFonts w:ascii="Times New Roman" w:hAnsi="Times New Roman" w:cs="Times New Roman"/>
          <w:sz w:val="20"/>
          <w:szCs w:val="20"/>
          <w:lang w:val="hr-HR"/>
        </w:rPr>
        <w:t xml:space="preserve">, dok su u Mađarskoj visokoobrazovne ustanove nedavno prenesene na javne temelje. Te ustanove bile su predmet nekoliko programa kroz europske programe pod nacionalnom upravom, no njihov potencijal za inovacije nije u potpunosti otključan. Broj studenata u visokom obrazovanju pokazuje pad u obje države. U </w:t>
      </w:r>
      <w:proofErr w:type="spellStart"/>
      <w:r w:rsidRPr="0086186A">
        <w:rPr>
          <w:rFonts w:ascii="Times New Roman" w:hAnsi="Times New Roman" w:cs="Times New Roman"/>
          <w:sz w:val="20"/>
          <w:szCs w:val="20"/>
          <w:lang w:val="hr-HR"/>
        </w:rPr>
        <w:t>Baranyji</w:t>
      </w:r>
      <w:proofErr w:type="spellEnd"/>
      <w:r w:rsidRPr="0086186A">
        <w:rPr>
          <w:rFonts w:ascii="Times New Roman" w:hAnsi="Times New Roman" w:cs="Times New Roman"/>
          <w:sz w:val="20"/>
          <w:szCs w:val="20"/>
          <w:lang w:val="hr-HR"/>
        </w:rPr>
        <w:t xml:space="preserve"> je najveći broj sudionika u visokom obrazovanju, iako je i taj broj pao, baš kao i u drugim županijama, djelomično zbog demografskih razloga i smanjene privlačnosti sveučilištâ u regiji. Slični trendovi opažaju se u hrvatskim ustanovama u regiji. Daljnji pad broja studenata u visokom obrazovanju može dovesti do smanjenja kapaciteta i posljedično imati negativan utjecaj na konkurentnost gospodarstva pograničnog područja. Prepreke zbog jezičnih razlika čine se višima u usporedbi s drugim pograničnim regijama u EU-u. Na mađarskoj je strani općeniti nedostatak poznavanja jezika, dok Hrvati imaju općenito bolje poznavanje engleskog. Taj jaz utječe na </w:t>
      </w:r>
      <w:proofErr w:type="spellStart"/>
      <w:r w:rsidRPr="0086186A">
        <w:rPr>
          <w:rFonts w:ascii="Times New Roman" w:hAnsi="Times New Roman" w:cs="Times New Roman"/>
          <w:sz w:val="20"/>
          <w:szCs w:val="20"/>
          <w:lang w:val="hr-HR"/>
        </w:rPr>
        <w:t>zapošljivost</w:t>
      </w:r>
      <w:proofErr w:type="spellEnd"/>
      <w:r w:rsidRPr="0086186A">
        <w:rPr>
          <w:rFonts w:ascii="Times New Roman" w:hAnsi="Times New Roman" w:cs="Times New Roman"/>
          <w:sz w:val="20"/>
          <w:szCs w:val="20"/>
          <w:lang w:val="hr-HR"/>
        </w:rPr>
        <w:t>, kvalitetu radne snage i usluge koje se nude. Općenito gledajući, između pograničnih regija relativno je niska razina integracije tržišta rada.</w:t>
      </w:r>
    </w:p>
    <w:p w14:paraId="073F4B3A" w14:textId="2235A652" w:rsidR="00EB34EB" w:rsidRPr="0086186A" w:rsidRDefault="00EB34EB" w:rsidP="00F968EF">
      <w:pPr>
        <w:pStyle w:val="BodyText"/>
        <w:ind w:left="170" w:right="135"/>
        <w:jc w:val="both"/>
        <w:rPr>
          <w:rFonts w:ascii="Times New Roman" w:hAnsi="Times New Roman" w:cs="Times New Roman"/>
          <w:sz w:val="20"/>
          <w:szCs w:val="20"/>
          <w:lang w:val="hr-HR"/>
        </w:rPr>
      </w:pPr>
    </w:p>
    <w:p w14:paraId="7F3A5EBE" w14:textId="07B2560B" w:rsidR="00EB34EB" w:rsidRPr="0086186A" w:rsidRDefault="00EB34EB" w:rsidP="00F968E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Prosječno sudjelovanje odraslih u obrazovanju promjenjivo je i daleko ispod europskog prosjeka. </w:t>
      </w:r>
      <w:r w:rsidR="00864681" w:rsidRPr="0086186A">
        <w:rPr>
          <w:rFonts w:ascii="Times New Roman" w:hAnsi="Times New Roman" w:cs="Times New Roman"/>
          <w:sz w:val="20"/>
          <w:szCs w:val="20"/>
          <w:lang w:val="hr-HR"/>
        </w:rPr>
        <w:t xml:space="preserve">U vrijednostima kontinentalne Hrvatske vidljiva je stagnacija (3,1%). Međutim, u Mađarskoj vidimo da su u promatranim </w:t>
      </w:r>
      <w:proofErr w:type="spellStart"/>
      <w:r w:rsidR="00864681" w:rsidRPr="0086186A">
        <w:rPr>
          <w:rFonts w:ascii="Times New Roman" w:hAnsi="Times New Roman" w:cs="Times New Roman"/>
          <w:sz w:val="20"/>
          <w:szCs w:val="20"/>
          <w:lang w:val="hr-HR"/>
        </w:rPr>
        <w:t>NUTS</w:t>
      </w:r>
      <w:proofErr w:type="spellEnd"/>
      <w:r w:rsidR="00864681" w:rsidRPr="0086186A">
        <w:rPr>
          <w:rFonts w:ascii="Times New Roman" w:hAnsi="Times New Roman" w:cs="Times New Roman"/>
          <w:sz w:val="20"/>
          <w:szCs w:val="20"/>
          <w:lang w:val="hr-HR"/>
        </w:rPr>
        <w:t xml:space="preserve"> 2 regijama zapadnog i južnog Podunavlja (4,4% odnosno 4,3%) stope niže od nacionalnog prosjeka (6%).</w:t>
      </w:r>
    </w:p>
    <w:p w14:paraId="5F9BAB40" w14:textId="7205AC7C" w:rsidR="00864681" w:rsidRPr="0086186A" w:rsidRDefault="00864681" w:rsidP="00F968EF">
      <w:pPr>
        <w:pStyle w:val="BodyText"/>
        <w:ind w:left="170" w:right="135"/>
        <w:jc w:val="both"/>
        <w:rPr>
          <w:rFonts w:ascii="Times New Roman" w:hAnsi="Times New Roman" w:cs="Times New Roman"/>
          <w:sz w:val="20"/>
          <w:szCs w:val="20"/>
          <w:lang w:val="hr-HR"/>
        </w:rPr>
      </w:pPr>
    </w:p>
    <w:p w14:paraId="5EB70303" w14:textId="2F7C08BC" w:rsidR="00864681" w:rsidRPr="0086186A" w:rsidRDefault="00864681" w:rsidP="00F968E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Socioekonomske nejednakosti u pristupu kvalitetnoj zdravstvenoj skrbi, obrazovanju, tržištu rada i stambenom </w:t>
      </w:r>
      <w:r w:rsidRPr="0086186A">
        <w:rPr>
          <w:rFonts w:ascii="Times New Roman" w:hAnsi="Times New Roman" w:cs="Times New Roman"/>
          <w:sz w:val="20"/>
          <w:szCs w:val="20"/>
          <w:lang w:val="hr-HR"/>
        </w:rPr>
        <w:lastRenderedPageBreak/>
        <w:t>tržištu značajne su, što ostavlja veliki potencijal za konkurentnost neiskorištenim i usporava ukupni rast obiju država. Iako se siromaštvo u Mađarskoj smanjilo rastom gospodarstva, prema najnovijem izvješću o državi ostaju velike regionalne nejednakosti koje doprinose teritorijalnoj koncentraciji siromaštva i značajnoj socijalnoj isključenosti. Prema karti siromaštva Svjetske banke za Hrvatsku (2017.) najnerazvijenije županije nalaze se u programskom području. Kao što pokazuju najnoviji podaci Eurostata, Hrvatska je iznad europskog prosjeka s obzirom na ljude kojima prijeti rizik od siromaštva, dok je Mađarska nekako uspjela optimizirati tu stopu, iako južno Podunavlje ima najgori rezultat – 25,9%.</w:t>
      </w:r>
    </w:p>
    <w:p w14:paraId="4467E7FE" w14:textId="613BD0FD" w:rsidR="00864681" w:rsidRPr="0086186A" w:rsidRDefault="00864681" w:rsidP="00F968EF">
      <w:pPr>
        <w:pStyle w:val="BodyText"/>
        <w:ind w:left="170" w:right="135"/>
        <w:jc w:val="both"/>
        <w:rPr>
          <w:rFonts w:ascii="Times New Roman" w:hAnsi="Times New Roman" w:cs="Times New Roman"/>
          <w:sz w:val="20"/>
          <w:szCs w:val="20"/>
          <w:lang w:val="hr-HR"/>
        </w:rPr>
      </w:pPr>
    </w:p>
    <w:p w14:paraId="4ECD7252" w14:textId="1535E9CF" w:rsidR="00864681" w:rsidRPr="0086186A" w:rsidRDefault="00411590" w:rsidP="00F968E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Što se tiče rezultata sustavâ zdravstvene skrbi u Mađarskoj i Hrvatskoj, oba su ispod europskog prosjeka. Sustav zdravstvene skrbi u Mađarskoj pati od ozbiljnog nedostatka financija, održava neučinkovite strukture, obilježen je teritorijalnim nejednakostima, nema dovoljan broj liječnika i podržava osoblje koje ima nisku razinu motivacije. Općenito govoreći, sustav ne može pratiti potražnju ni u kvaliteti ni u kvantiteti. Na nacionalnoj razini očekivano je trajanje života u Mađarskoj i Hrvatskoj niže od prosjeka Europske unije. Nacionalni prosjek u 2018. bio je 76,3 godine za obje države, dok je prosjek EU-a bio 84.</w:t>
      </w:r>
    </w:p>
    <w:p w14:paraId="50576CCF" w14:textId="44F62D65" w:rsidR="00411590" w:rsidRPr="0086186A" w:rsidRDefault="00411590" w:rsidP="00F968EF">
      <w:pPr>
        <w:pStyle w:val="BodyText"/>
        <w:ind w:left="170" w:right="135"/>
        <w:jc w:val="both"/>
        <w:rPr>
          <w:rFonts w:ascii="Times New Roman" w:hAnsi="Times New Roman" w:cs="Times New Roman"/>
          <w:sz w:val="20"/>
          <w:szCs w:val="20"/>
          <w:lang w:val="hr-HR"/>
        </w:rPr>
      </w:pPr>
    </w:p>
    <w:p w14:paraId="3338609F" w14:textId="59C3EC24" w:rsidR="00411590" w:rsidRPr="0086186A" w:rsidRDefault="00411590" w:rsidP="00F968E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Analiza statističkih podataka sustava ustanova zdravstvene skrbi pokazuje vrlo različitu sliku u Zali i druge dvije županije u južnom Podunavlju, a posebno su brojke u </w:t>
      </w:r>
      <w:proofErr w:type="spellStart"/>
      <w:r w:rsidRPr="0086186A">
        <w:rPr>
          <w:rFonts w:ascii="Times New Roman" w:hAnsi="Times New Roman" w:cs="Times New Roman"/>
          <w:sz w:val="20"/>
          <w:szCs w:val="20"/>
          <w:lang w:val="hr-HR"/>
        </w:rPr>
        <w:t>Baranyji</w:t>
      </w:r>
      <w:proofErr w:type="spellEnd"/>
      <w:r w:rsidRPr="0086186A">
        <w:rPr>
          <w:rFonts w:ascii="Times New Roman" w:hAnsi="Times New Roman" w:cs="Times New Roman"/>
          <w:sz w:val="20"/>
          <w:szCs w:val="20"/>
          <w:lang w:val="hr-HR"/>
        </w:rPr>
        <w:t xml:space="preserve"> povoljne zbog prisutnosti medicinskog sveučilišta. Broj liječnika prilično je visok u </w:t>
      </w:r>
      <w:proofErr w:type="spellStart"/>
      <w:r w:rsidRPr="0086186A">
        <w:rPr>
          <w:rFonts w:ascii="Times New Roman" w:hAnsi="Times New Roman" w:cs="Times New Roman"/>
          <w:sz w:val="20"/>
          <w:szCs w:val="20"/>
          <w:lang w:val="hr-HR"/>
        </w:rPr>
        <w:t>Baranyji</w:t>
      </w:r>
      <w:proofErr w:type="spellEnd"/>
      <w:r w:rsidRPr="0086186A">
        <w:rPr>
          <w:rFonts w:ascii="Times New Roman" w:hAnsi="Times New Roman" w:cs="Times New Roman"/>
          <w:sz w:val="20"/>
          <w:szCs w:val="20"/>
          <w:lang w:val="hr-HR"/>
        </w:rPr>
        <w:t xml:space="preserve">, a broj nepopunjenih praksi obiteljske medicine najniži je u </w:t>
      </w:r>
      <w:proofErr w:type="spellStart"/>
      <w:r w:rsidRPr="0086186A">
        <w:rPr>
          <w:rFonts w:ascii="Times New Roman" w:hAnsi="Times New Roman" w:cs="Times New Roman"/>
          <w:sz w:val="20"/>
          <w:szCs w:val="20"/>
          <w:lang w:val="hr-HR"/>
        </w:rPr>
        <w:t>Baranyji</w:t>
      </w:r>
      <w:proofErr w:type="spellEnd"/>
      <w:r w:rsidRPr="0086186A">
        <w:rPr>
          <w:rFonts w:ascii="Times New Roman" w:hAnsi="Times New Roman" w:cs="Times New Roman"/>
          <w:sz w:val="20"/>
          <w:szCs w:val="20"/>
          <w:lang w:val="hr-HR"/>
        </w:rPr>
        <w:t xml:space="preserve">. Što se tiče broja bolničkih kreveta po glavi stanovnika, Zala i </w:t>
      </w:r>
      <w:proofErr w:type="spellStart"/>
      <w:r w:rsidR="00F84498">
        <w:rPr>
          <w:rFonts w:ascii="Times New Roman" w:hAnsi="Times New Roman" w:cs="Times New Roman"/>
          <w:sz w:val="20"/>
          <w:szCs w:val="20"/>
          <w:lang w:val="hr-HR"/>
        </w:rPr>
        <w:t>S</w:t>
      </w:r>
      <w:r w:rsidRPr="0086186A">
        <w:rPr>
          <w:rFonts w:ascii="Times New Roman" w:hAnsi="Times New Roman" w:cs="Times New Roman"/>
          <w:sz w:val="20"/>
          <w:szCs w:val="20"/>
          <w:lang w:val="hr-HR"/>
        </w:rPr>
        <w:t>omogy</w:t>
      </w:r>
      <w:proofErr w:type="spellEnd"/>
      <w:r w:rsidRPr="0086186A">
        <w:rPr>
          <w:rFonts w:ascii="Times New Roman" w:hAnsi="Times New Roman" w:cs="Times New Roman"/>
          <w:sz w:val="20"/>
          <w:szCs w:val="20"/>
          <w:lang w:val="hr-HR"/>
        </w:rPr>
        <w:t xml:space="preserve"> blizu su nac</w:t>
      </w:r>
      <w:r w:rsidR="00F84498">
        <w:rPr>
          <w:rFonts w:ascii="Times New Roman" w:hAnsi="Times New Roman" w:cs="Times New Roman"/>
          <w:sz w:val="20"/>
          <w:szCs w:val="20"/>
          <w:lang w:val="hr-HR"/>
        </w:rPr>
        <w:t>i</w:t>
      </w:r>
      <w:r w:rsidRPr="0086186A">
        <w:rPr>
          <w:rFonts w:ascii="Times New Roman" w:hAnsi="Times New Roman" w:cs="Times New Roman"/>
          <w:sz w:val="20"/>
          <w:szCs w:val="20"/>
          <w:lang w:val="hr-HR"/>
        </w:rPr>
        <w:t xml:space="preserve">onalnog prosjeka, a </w:t>
      </w:r>
      <w:proofErr w:type="spellStart"/>
      <w:r w:rsidRPr="0086186A">
        <w:rPr>
          <w:rFonts w:ascii="Times New Roman" w:hAnsi="Times New Roman" w:cs="Times New Roman"/>
          <w:sz w:val="20"/>
          <w:szCs w:val="20"/>
          <w:lang w:val="hr-HR"/>
        </w:rPr>
        <w:t>Baranya</w:t>
      </w:r>
      <w:proofErr w:type="spellEnd"/>
      <w:r w:rsidRPr="0086186A">
        <w:rPr>
          <w:rFonts w:ascii="Times New Roman" w:hAnsi="Times New Roman" w:cs="Times New Roman"/>
          <w:sz w:val="20"/>
          <w:szCs w:val="20"/>
          <w:lang w:val="hr-HR"/>
        </w:rPr>
        <w:t xml:space="preserve"> je opet u najpovoljnijem položaju zbog kapaciteta dostupnih u Pečuhu.</w:t>
      </w:r>
      <w:r w:rsidR="00F82607" w:rsidRPr="0086186A">
        <w:rPr>
          <w:rFonts w:ascii="Times New Roman" w:hAnsi="Times New Roman" w:cs="Times New Roman"/>
          <w:sz w:val="20"/>
          <w:szCs w:val="20"/>
          <w:lang w:val="hr-HR"/>
        </w:rPr>
        <w:t xml:space="preserve"> Kao i Mađarska, Hrvatska ima relativno nisku razinu financiranja zdravstva. Napredna zdravstvena skrb koncentrirana je u velikim centrima, posebno u Zagrebu, dok su manji gradovi često ostavljeni s temeljnom i mnogo manje tehnološki naprednom zdravstvenom skrbi. Najbolji centar za zdravstvenu skrb u hrvatskom dijelu programskog područja nalazi se u Osijeku, koji ima Klinički bolnički centar. Bolnice i ambulante u Hrvatskoj osnivaju uglavnom županije, no kliničke centre, kliničke bolnice i klinike osniva država. U Mađarskoj je bolnice preuzela država.</w:t>
      </w:r>
    </w:p>
    <w:p w14:paraId="78D6ED4F" w14:textId="685AEFD3" w:rsidR="00F82607" w:rsidRPr="0086186A" w:rsidRDefault="00F82607" w:rsidP="00F968EF">
      <w:pPr>
        <w:pStyle w:val="BodyText"/>
        <w:ind w:left="170" w:right="135"/>
        <w:jc w:val="both"/>
        <w:rPr>
          <w:rFonts w:ascii="Times New Roman" w:hAnsi="Times New Roman" w:cs="Times New Roman"/>
          <w:sz w:val="20"/>
          <w:szCs w:val="20"/>
          <w:lang w:val="hr-HR"/>
        </w:rPr>
      </w:pPr>
    </w:p>
    <w:p w14:paraId="03AF62DF" w14:textId="2CFF78A7" w:rsidR="00F82607" w:rsidRPr="0086186A" w:rsidRDefault="00F82607" w:rsidP="00F968E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Produktivnost radne snage ključan je faktor gospodarske konkurentnosti i socijalne uključenosti pograničnog područja. To treba značajno pojačati, pri čemu su tržišno orijentirani obrazovni programi i tečajevi, uključujući jezične tečajeve</w:t>
      </w:r>
      <w:r w:rsidR="00730B6C" w:rsidRPr="0086186A">
        <w:rPr>
          <w:rFonts w:ascii="Times New Roman" w:hAnsi="Times New Roman" w:cs="Times New Roman"/>
          <w:sz w:val="20"/>
          <w:szCs w:val="20"/>
          <w:lang w:val="hr-HR"/>
        </w:rPr>
        <w:t>, bitni i u strukovnom i visokom obrazovanju, kao i u obrazovanju odraslih. Prekogranična suradnja usmjerena na poduzetništvo između obrazovnih ustanova doprinijela bi konkurentnosti lokalnog obrazovnog sustava.</w:t>
      </w:r>
    </w:p>
    <w:p w14:paraId="5FC47C07" w14:textId="0FD6FED3" w:rsidR="00730B6C" w:rsidRPr="0086186A" w:rsidRDefault="00730B6C" w:rsidP="00F968EF">
      <w:pPr>
        <w:pStyle w:val="BodyText"/>
        <w:ind w:left="170" w:right="135"/>
        <w:jc w:val="both"/>
        <w:rPr>
          <w:rFonts w:ascii="Times New Roman" w:hAnsi="Times New Roman" w:cs="Times New Roman"/>
          <w:sz w:val="20"/>
          <w:szCs w:val="20"/>
          <w:lang w:val="hr-HR"/>
        </w:rPr>
      </w:pPr>
    </w:p>
    <w:p w14:paraId="45FA95CE" w14:textId="340D2F95" w:rsidR="00730B6C" w:rsidRPr="0086186A" w:rsidRDefault="00730B6C" w:rsidP="00F968EF">
      <w:pPr>
        <w:pStyle w:val="BodyText"/>
        <w:ind w:left="170" w:right="135"/>
        <w:jc w:val="both"/>
        <w:rPr>
          <w:rFonts w:ascii="Times New Roman" w:hAnsi="Times New Roman" w:cs="Times New Roman"/>
          <w:i/>
          <w:iCs/>
          <w:sz w:val="20"/>
          <w:szCs w:val="20"/>
          <w:lang w:val="hr-HR"/>
        </w:rPr>
      </w:pPr>
      <w:r w:rsidRPr="0086186A">
        <w:rPr>
          <w:rFonts w:ascii="Times New Roman" w:hAnsi="Times New Roman" w:cs="Times New Roman"/>
          <w:i/>
          <w:iCs/>
          <w:sz w:val="20"/>
          <w:szCs w:val="20"/>
          <w:lang w:val="hr-HR"/>
        </w:rPr>
        <w:t>Kulturna baština i međuljudska suradnja</w:t>
      </w:r>
    </w:p>
    <w:p w14:paraId="78E73055" w14:textId="5836187A" w:rsidR="00730B6C" w:rsidRPr="0086186A" w:rsidRDefault="00730B6C" w:rsidP="00F968EF">
      <w:pPr>
        <w:pStyle w:val="BodyText"/>
        <w:ind w:left="170" w:right="135"/>
        <w:jc w:val="both"/>
        <w:rPr>
          <w:rFonts w:ascii="Times New Roman" w:hAnsi="Times New Roman" w:cs="Times New Roman"/>
          <w:i/>
          <w:iCs/>
          <w:sz w:val="20"/>
          <w:szCs w:val="20"/>
          <w:lang w:val="hr-HR"/>
        </w:rPr>
      </w:pPr>
    </w:p>
    <w:p w14:paraId="2E55D3DE" w14:textId="7391263B" w:rsidR="00730B6C" w:rsidRPr="0086186A" w:rsidRDefault="00730B6C" w:rsidP="00F968E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U pograničnom području postoji bogata kulturna baština, a najpoznatija je ranokršćanska metropola Pečuha (</w:t>
      </w:r>
      <w:proofErr w:type="spellStart"/>
      <w:r w:rsidRPr="0086186A">
        <w:rPr>
          <w:rFonts w:ascii="Times New Roman" w:hAnsi="Times New Roman" w:cs="Times New Roman"/>
          <w:sz w:val="20"/>
          <w:szCs w:val="20"/>
          <w:lang w:val="hr-HR"/>
        </w:rPr>
        <w:t>Sopianae</w:t>
      </w:r>
      <w:proofErr w:type="spellEnd"/>
      <w:r w:rsidRPr="0086186A">
        <w:rPr>
          <w:rFonts w:ascii="Times New Roman" w:hAnsi="Times New Roman" w:cs="Times New Roman"/>
          <w:sz w:val="20"/>
          <w:szCs w:val="20"/>
          <w:lang w:val="hr-HR"/>
        </w:rPr>
        <w:t xml:space="preserve">), koju je UNESCO uvrstio na popis svjetske baštine. U pograničnom području zaštićeno je još nekoliko elemenata nematerijalne kulturne baštine: festival </w:t>
      </w:r>
      <w:proofErr w:type="spellStart"/>
      <w:r w:rsidRPr="0086186A">
        <w:rPr>
          <w:rFonts w:ascii="Times New Roman" w:hAnsi="Times New Roman" w:cs="Times New Roman"/>
          <w:sz w:val="20"/>
          <w:szCs w:val="20"/>
          <w:lang w:val="hr-HR"/>
        </w:rPr>
        <w:t>Busó</w:t>
      </w:r>
      <w:proofErr w:type="spellEnd"/>
      <w:r w:rsidRPr="0086186A">
        <w:rPr>
          <w:rFonts w:ascii="Times New Roman" w:hAnsi="Times New Roman" w:cs="Times New Roman"/>
          <w:sz w:val="20"/>
          <w:szCs w:val="20"/>
          <w:lang w:val="hr-HR"/>
        </w:rPr>
        <w:t xml:space="preserve"> u </w:t>
      </w:r>
      <w:proofErr w:type="spellStart"/>
      <w:r w:rsidRPr="0086186A">
        <w:rPr>
          <w:rFonts w:ascii="Times New Roman" w:hAnsi="Times New Roman" w:cs="Times New Roman"/>
          <w:sz w:val="20"/>
          <w:szCs w:val="20"/>
          <w:lang w:val="hr-HR"/>
        </w:rPr>
        <w:t>Mohaču</w:t>
      </w:r>
      <w:proofErr w:type="spellEnd"/>
      <w:r w:rsidRPr="0086186A">
        <w:rPr>
          <w:rFonts w:ascii="Times New Roman" w:hAnsi="Times New Roman" w:cs="Times New Roman"/>
          <w:sz w:val="20"/>
          <w:szCs w:val="20"/>
          <w:lang w:val="hr-HR"/>
        </w:rPr>
        <w:t xml:space="preserve">; proljetna povorka </w:t>
      </w:r>
      <w:proofErr w:type="spellStart"/>
      <w:r w:rsidRPr="0086186A">
        <w:rPr>
          <w:rFonts w:ascii="Times New Roman" w:hAnsi="Times New Roman" w:cs="Times New Roman"/>
          <w:sz w:val="20"/>
          <w:szCs w:val="20"/>
          <w:lang w:val="hr-HR"/>
        </w:rPr>
        <w:t>ljelja</w:t>
      </w:r>
      <w:proofErr w:type="spellEnd"/>
      <w:r w:rsidRPr="0086186A">
        <w:rPr>
          <w:rFonts w:ascii="Times New Roman" w:hAnsi="Times New Roman" w:cs="Times New Roman"/>
          <w:sz w:val="20"/>
          <w:szCs w:val="20"/>
          <w:lang w:val="hr-HR"/>
        </w:rPr>
        <w:t xml:space="preserve">/kraljica iz Gorjana; čipkarstvo u Hrvatskoj, uključujući u području oko Lepoglave; </w:t>
      </w:r>
      <w:proofErr w:type="spellStart"/>
      <w:r w:rsidRPr="0086186A">
        <w:rPr>
          <w:rFonts w:ascii="Times New Roman" w:hAnsi="Times New Roman" w:cs="Times New Roman"/>
          <w:sz w:val="20"/>
          <w:szCs w:val="20"/>
          <w:lang w:val="hr-HR"/>
        </w:rPr>
        <w:t>medičarstvo</w:t>
      </w:r>
      <w:proofErr w:type="spellEnd"/>
      <w:r w:rsidRPr="0086186A">
        <w:rPr>
          <w:rFonts w:ascii="Times New Roman" w:hAnsi="Times New Roman" w:cs="Times New Roman"/>
          <w:sz w:val="20"/>
          <w:szCs w:val="20"/>
          <w:lang w:val="hr-HR"/>
        </w:rPr>
        <w:t xml:space="preserve"> sjeverne Hrvatske; bećarsko pjevanje i igranje iz istočne Hrvatske; međimurska </w:t>
      </w:r>
      <w:proofErr w:type="spellStart"/>
      <w:r w:rsidRPr="0086186A">
        <w:rPr>
          <w:rFonts w:ascii="Times New Roman" w:hAnsi="Times New Roman" w:cs="Times New Roman"/>
          <w:sz w:val="20"/>
          <w:szCs w:val="20"/>
          <w:lang w:val="hr-HR"/>
        </w:rPr>
        <w:t>popevka</w:t>
      </w:r>
      <w:proofErr w:type="spellEnd"/>
      <w:r w:rsidRPr="0086186A">
        <w:rPr>
          <w:rFonts w:ascii="Times New Roman" w:hAnsi="Times New Roman" w:cs="Times New Roman"/>
          <w:sz w:val="20"/>
          <w:szCs w:val="20"/>
          <w:lang w:val="hr-HR"/>
        </w:rPr>
        <w:t xml:space="preserve">. Elementi kulturne baštine na </w:t>
      </w:r>
      <w:proofErr w:type="spellStart"/>
      <w:r w:rsidRPr="0086186A">
        <w:rPr>
          <w:rFonts w:ascii="Times New Roman" w:hAnsi="Times New Roman" w:cs="Times New Roman"/>
          <w:sz w:val="20"/>
          <w:szCs w:val="20"/>
          <w:lang w:val="hr-HR"/>
        </w:rPr>
        <w:t>kandidatskom</w:t>
      </w:r>
      <w:proofErr w:type="spellEnd"/>
      <w:r w:rsidRPr="0086186A">
        <w:rPr>
          <w:rFonts w:ascii="Times New Roman" w:hAnsi="Times New Roman" w:cs="Times New Roman"/>
          <w:sz w:val="20"/>
          <w:szCs w:val="20"/>
          <w:lang w:val="hr-HR"/>
        </w:rPr>
        <w:t xml:space="preserve"> popisu od 2005.: granice Rimskog carstva – hrvatski limes; </w:t>
      </w:r>
      <w:r w:rsidR="00AE7DF2" w:rsidRPr="0086186A">
        <w:rPr>
          <w:rFonts w:ascii="Times New Roman" w:hAnsi="Times New Roman" w:cs="Times New Roman"/>
          <w:sz w:val="20"/>
          <w:szCs w:val="20"/>
          <w:lang w:val="hr-HR"/>
        </w:rPr>
        <w:t>povijesni ansambl planiranja grada – Tvrđa u Osijeku; Varaždin – povijesna jezgra i Stari grad.</w:t>
      </w:r>
    </w:p>
    <w:p w14:paraId="2274A856" w14:textId="706AAB4E" w:rsidR="00AE7DF2" w:rsidRPr="0086186A" w:rsidRDefault="00AE7DF2" w:rsidP="00F968EF">
      <w:pPr>
        <w:pStyle w:val="BodyText"/>
        <w:ind w:left="170" w:right="135"/>
        <w:jc w:val="both"/>
        <w:rPr>
          <w:rFonts w:ascii="Times New Roman" w:hAnsi="Times New Roman" w:cs="Times New Roman"/>
          <w:sz w:val="20"/>
          <w:szCs w:val="20"/>
          <w:lang w:val="hr-HR"/>
        </w:rPr>
      </w:pPr>
    </w:p>
    <w:p w14:paraId="473AB4CA" w14:textId="62AD7EA1" w:rsidR="00AE7DF2" w:rsidRPr="0086186A" w:rsidRDefault="00AE7DF2" w:rsidP="00F968E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Pogranično područje poznato je po arhitektonskoj baštini </w:t>
      </w:r>
      <w:r w:rsidR="00CB10A3" w:rsidRPr="0086186A">
        <w:rPr>
          <w:rFonts w:ascii="Times New Roman" w:hAnsi="Times New Roman" w:cs="Times New Roman"/>
          <w:sz w:val="20"/>
          <w:szCs w:val="20"/>
          <w:lang w:val="hr-HR"/>
        </w:rPr>
        <w:t>nekadašnjih plemenitaških obitelji. Većina njihovih dvoraca koriste se kao muzeji ili zgrade s javnim funkcijama, no neki od njih pretvoreni su u turističke smještajne objekte. Sakralna arhitektura također je karakteristična za to područje (</w:t>
      </w:r>
      <w:proofErr w:type="spellStart"/>
      <w:r w:rsidR="00CB10A3" w:rsidRPr="0086186A">
        <w:rPr>
          <w:rFonts w:ascii="Times New Roman" w:hAnsi="Times New Roman" w:cs="Times New Roman"/>
          <w:sz w:val="20"/>
          <w:szCs w:val="20"/>
          <w:lang w:val="hr-HR"/>
        </w:rPr>
        <w:t>Búcsúszentlászló</w:t>
      </w:r>
      <w:proofErr w:type="spellEnd"/>
      <w:r w:rsidR="00CB10A3" w:rsidRPr="0086186A">
        <w:rPr>
          <w:rFonts w:ascii="Times New Roman" w:hAnsi="Times New Roman" w:cs="Times New Roman"/>
          <w:sz w:val="20"/>
          <w:szCs w:val="20"/>
          <w:lang w:val="hr-HR"/>
        </w:rPr>
        <w:t xml:space="preserve">, Đakovo, </w:t>
      </w:r>
      <w:proofErr w:type="spellStart"/>
      <w:r w:rsidR="00CB10A3" w:rsidRPr="0086186A">
        <w:rPr>
          <w:rFonts w:ascii="Times New Roman" w:hAnsi="Times New Roman" w:cs="Times New Roman"/>
          <w:sz w:val="20"/>
          <w:szCs w:val="20"/>
          <w:lang w:val="hr-HR"/>
        </w:rPr>
        <w:t>Homokkomárom</w:t>
      </w:r>
      <w:proofErr w:type="spellEnd"/>
      <w:r w:rsidR="00CB10A3" w:rsidRPr="0086186A">
        <w:rPr>
          <w:rFonts w:ascii="Times New Roman" w:hAnsi="Times New Roman" w:cs="Times New Roman"/>
          <w:sz w:val="20"/>
          <w:szCs w:val="20"/>
          <w:lang w:val="hr-HR"/>
        </w:rPr>
        <w:t xml:space="preserve">, </w:t>
      </w:r>
      <w:proofErr w:type="spellStart"/>
      <w:r w:rsidR="00CB10A3" w:rsidRPr="0086186A">
        <w:rPr>
          <w:rFonts w:ascii="Times New Roman" w:hAnsi="Times New Roman" w:cs="Times New Roman"/>
          <w:sz w:val="20"/>
          <w:szCs w:val="20"/>
          <w:lang w:val="hr-HR"/>
        </w:rPr>
        <w:t>Máriagyűd</w:t>
      </w:r>
      <w:proofErr w:type="spellEnd"/>
      <w:r w:rsidR="00CB10A3" w:rsidRPr="0086186A">
        <w:rPr>
          <w:rFonts w:ascii="Times New Roman" w:hAnsi="Times New Roman" w:cs="Times New Roman"/>
          <w:sz w:val="20"/>
          <w:szCs w:val="20"/>
          <w:lang w:val="hr-HR"/>
        </w:rPr>
        <w:t xml:space="preserve">, </w:t>
      </w:r>
      <w:proofErr w:type="spellStart"/>
      <w:r w:rsidR="00CB10A3" w:rsidRPr="0086186A">
        <w:rPr>
          <w:rFonts w:ascii="Times New Roman" w:hAnsi="Times New Roman" w:cs="Times New Roman"/>
          <w:sz w:val="20"/>
          <w:szCs w:val="20"/>
          <w:lang w:val="hr-HR"/>
        </w:rPr>
        <w:t>Mohač</w:t>
      </w:r>
      <w:proofErr w:type="spellEnd"/>
      <w:r w:rsidR="00CB10A3" w:rsidRPr="0086186A">
        <w:rPr>
          <w:rFonts w:ascii="Times New Roman" w:hAnsi="Times New Roman" w:cs="Times New Roman"/>
          <w:sz w:val="20"/>
          <w:szCs w:val="20"/>
          <w:lang w:val="hr-HR"/>
        </w:rPr>
        <w:t xml:space="preserve">, Molve, Osijek, </w:t>
      </w:r>
      <w:proofErr w:type="spellStart"/>
      <w:r w:rsidR="00CB10A3" w:rsidRPr="0086186A">
        <w:rPr>
          <w:rFonts w:ascii="Times New Roman" w:hAnsi="Times New Roman" w:cs="Times New Roman"/>
          <w:sz w:val="20"/>
          <w:szCs w:val="20"/>
          <w:lang w:val="hr-HR"/>
        </w:rPr>
        <w:t>Pécs</w:t>
      </w:r>
      <w:proofErr w:type="spellEnd"/>
      <w:r w:rsidR="00CB10A3" w:rsidRPr="0086186A">
        <w:rPr>
          <w:rFonts w:ascii="Times New Roman" w:hAnsi="Times New Roman" w:cs="Times New Roman"/>
          <w:sz w:val="20"/>
          <w:szCs w:val="20"/>
          <w:lang w:val="hr-HR"/>
        </w:rPr>
        <w:t xml:space="preserve"> itd.). Tu su i različiti tematski muzeji kao što su regionalne etnografske zbirke (</w:t>
      </w:r>
      <w:proofErr w:type="spellStart"/>
      <w:r w:rsidR="00CB10A3" w:rsidRPr="0086186A">
        <w:rPr>
          <w:rFonts w:ascii="Times New Roman" w:hAnsi="Times New Roman" w:cs="Times New Roman"/>
          <w:sz w:val="20"/>
          <w:szCs w:val="20"/>
          <w:lang w:val="hr-HR"/>
        </w:rPr>
        <w:t>Zalaegerszeg</w:t>
      </w:r>
      <w:proofErr w:type="spellEnd"/>
      <w:r w:rsidR="00CB10A3" w:rsidRPr="0086186A">
        <w:rPr>
          <w:rFonts w:ascii="Times New Roman" w:hAnsi="Times New Roman" w:cs="Times New Roman"/>
          <w:sz w:val="20"/>
          <w:szCs w:val="20"/>
          <w:lang w:val="hr-HR"/>
        </w:rPr>
        <w:t xml:space="preserve">, </w:t>
      </w:r>
      <w:proofErr w:type="spellStart"/>
      <w:r w:rsidR="00CB10A3" w:rsidRPr="0086186A">
        <w:rPr>
          <w:rFonts w:ascii="Times New Roman" w:hAnsi="Times New Roman" w:cs="Times New Roman"/>
          <w:sz w:val="20"/>
          <w:szCs w:val="20"/>
          <w:lang w:val="hr-HR"/>
        </w:rPr>
        <w:t>Mohač</w:t>
      </w:r>
      <w:proofErr w:type="spellEnd"/>
      <w:r w:rsidR="00CB10A3" w:rsidRPr="0086186A">
        <w:rPr>
          <w:rFonts w:ascii="Times New Roman" w:hAnsi="Times New Roman" w:cs="Times New Roman"/>
          <w:sz w:val="20"/>
          <w:szCs w:val="20"/>
          <w:lang w:val="hr-HR"/>
        </w:rPr>
        <w:t xml:space="preserve"> itd.) ili posebna industrijska baština (</w:t>
      </w:r>
      <w:proofErr w:type="spellStart"/>
      <w:r w:rsidR="00CB10A3" w:rsidRPr="0086186A">
        <w:rPr>
          <w:rFonts w:ascii="Times New Roman" w:hAnsi="Times New Roman" w:cs="Times New Roman"/>
          <w:sz w:val="20"/>
          <w:szCs w:val="20"/>
          <w:lang w:val="hr-HR"/>
        </w:rPr>
        <w:t>Zalaegerszeg</w:t>
      </w:r>
      <w:proofErr w:type="spellEnd"/>
      <w:r w:rsidR="00CB10A3" w:rsidRPr="0086186A">
        <w:rPr>
          <w:rFonts w:ascii="Times New Roman" w:hAnsi="Times New Roman" w:cs="Times New Roman"/>
          <w:sz w:val="20"/>
          <w:szCs w:val="20"/>
          <w:lang w:val="hr-HR"/>
        </w:rPr>
        <w:t xml:space="preserve">, Pečuh). Arhitektonski ostaci turske vladavine vidljivi su na mađarskoj strani (Pečuh, </w:t>
      </w:r>
      <w:proofErr w:type="spellStart"/>
      <w:r w:rsidR="00CB10A3" w:rsidRPr="0086186A">
        <w:rPr>
          <w:rFonts w:ascii="Times New Roman" w:hAnsi="Times New Roman" w:cs="Times New Roman"/>
          <w:sz w:val="20"/>
          <w:szCs w:val="20"/>
          <w:lang w:val="hr-HR"/>
        </w:rPr>
        <w:t>Siklós</w:t>
      </w:r>
      <w:proofErr w:type="spellEnd"/>
      <w:r w:rsidR="00CB10A3" w:rsidRPr="0086186A">
        <w:rPr>
          <w:rFonts w:ascii="Times New Roman" w:hAnsi="Times New Roman" w:cs="Times New Roman"/>
          <w:sz w:val="20"/>
          <w:szCs w:val="20"/>
          <w:lang w:val="hr-HR"/>
        </w:rPr>
        <w:t xml:space="preserve">, </w:t>
      </w:r>
      <w:proofErr w:type="spellStart"/>
      <w:r w:rsidR="00CB10A3" w:rsidRPr="0086186A">
        <w:rPr>
          <w:rFonts w:ascii="Times New Roman" w:hAnsi="Times New Roman" w:cs="Times New Roman"/>
          <w:sz w:val="20"/>
          <w:szCs w:val="20"/>
          <w:lang w:val="hr-HR"/>
        </w:rPr>
        <w:t>Szigetvár</w:t>
      </w:r>
      <w:proofErr w:type="spellEnd"/>
      <w:r w:rsidR="00CB10A3" w:rsidRPr="0086186A">
        <w:rPr>
          <w:rFonts w:ascii="Times New Roman" w:hAnsi="Times New Roman" w:cs="Times New Roman"/>
          <w:sz w:val="20"/>
          <w:szCs w:val="20"/>
          <w:lang w:val="hr-HR"/>
        </w:rPr>
        <w:t xml:space="preserve">). Ruralna područja obilježena su svojom tradicionalnom arhitekturom. Jedinstveni element lijepe umjetnosti jest tradicija naivnog slikarstva u Podravini. Zbog mješavine različitih utjecaja, </w:t>
      </w:r>
      <w:r w:rsidR="00874089" w:rsidRPr="0086186A">
        <w:rPr>
          <w:rFonts w:ascii="Times New Roman" w:hAnsi="Times New Roman" w:cs="Times New Roman"/>
          <w:sz w:val="20"/>
          <w:szCs w:val="20"/>
          <w:lang w:val="hr-HR"/>
        </w:rPr>
        <w:t>području je svojstvena bogata gastronomija, a posebna mikroklima dovela je do jedinstvenih uvjeta za vinogradarstvo i proizvodnju vina.</w:t>
      </w:r>
    </w:p>
    <w:p w14:paraId="34DFCD11" w14:textId="08CAD235" w:rsidR="00874089" w:rsidRPr="0086186A" w:rsidRDefault="00874089" w:rsidP="00F968EF">
      <w:pPr>
        <w:pStyle w:val="BodyText"/>
        <w:ind w:left="170" w:right="135"/>
        <w:jc w:val="both"/>
        <w:rPr>
          <w:rFonts w:ascii="Times New Roman" w:hAnsi="Times New Roman" w:cs="Times New Roman"/>
          <w:sz w:val="20"/>
          <w:szCs w:val="20"/>
          <w:lang w:val="hr-HR"/>
        </w:rPr>
      </w:pPr>
    </w:p>
    <w:p w14:paraId="67EEE43D" w14:textId="1F0765F7" w:rsidR="00874089" w:rsidRPr="0086186A" w:rsidRDefault="00874089" w:rsidP="00F968E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Iz turističke perspektive najznačajniji su događaji razne kulturne svečanosti u Osijeku i Pečuhu, Renesansni festival i Podravski motivi u Koprivnici, </w:t>
      </w:r>
      <w:proofErr w:type="spellStart"/>
      <w:r w:rsidRPr="0086186A">
        <w:rPr>
          <w:rFonts w:ascii="Times New Roman" w:hAnsi="Times New Roman" w:cs="Times New Roman"/>
          <w:sz w:val="20"/>
          <w:szCs w:val="20"/>
          <w:lang w:val="hr-HR"/>
        </w:rPr>
        <w:t>Busójárás</w:t>
      </w:r>
      <w:proofErr w:type="spellEnd"/>
      <w:r w:rsidRPr="0086186A">
        <w:rPr>
          <w:rFonts w:ascii="Times New Roman" w:hAnsi="Times New Roman" w:cs="Times New Roman"/>
          <w:sz w:val="20"/>
          <w:szCs w:val="20"/>
          <w:lang w:val="hr-HR"/>
        </w:rPr>
        <w:t xml:space="preserve">/Poklade u </w:t>
      </w:r>
      <w:proofErr w:type="spellStart"/>
      <w:r w:rsidRPr="0086186A">
        <w:rPr>
          <w:rFonts w:ascii="Times New Roman" w:hAnsi="Times New Roman" w:cs="Times New Roman"/>
          <w:sz w:val="20"/>
          <w:szCs w:val="20"/>
          <w:lang w:val="hr-HR"/>
        </w:rPr>
        <w:t>Mohaču</w:t>
      </w:r>
      <w:proofErr w:type="spellEnd"/>
      <w:r w:rsidRPr="0086186A">
        <w:rPr>
          <w:rFonts w:ascii="Times New Roman" w:hAnsi="Times New Roman" w:cs="Times New Roman"/>
          <w:sz w:val="20"/>
          <w:szCs w:val="20"/>
          <w:lang w:val="hr-HR"/>
        </w:rPr>
        <w:t xml:space="preserve">, </w:t>
      </w:r>
      <w:proofErr w:type="spellStart"/>
      <w:r w:rsidRPr="0086186A">
        <w:rPr>
          <w:rFonts w:ascii="Times New Roman" w:hAnsi="Times New Roman" w:cs="Times New Roman"/>
          <w:sz w:val="20"/>
          <w:szCs w:val="20"/>
          <w:lang w:val="hr-HR"/>
        </w:rPr>
        <w:t>Špancirfest</w:t>
      </w:r>
      <w:proofErr w:type="spellEnd"/>
      <w:r w:rsidRPr="0086186A">
        <w:rPr>
          <w:rFonts w:ascii="Times New Roman" w:hAnsi="Times New Roman" w:cs="Times New Roman"/>
          <w:sz w:val="20"/>
          <w:szCs w:val="20"/>
          <w:lang w:val="hr-HR"/>
        </w:rPr>
        <w:t xml:space="preserve"> u Varaždinu, Festival čipke u Lepoglavi, </w:t>
      </w:r>
      <w:proofErr w:type="spellStart"/>
      <w:r w:rsidRPr="0086186A">
        <w:rPr>
          <w:rFonts w:ascii="Times New Roman" w:hAnsi="Times New Roman" w:cs="Times New Roman"/>
          <w:sz w:val="20"/>
          <w:szCs w:val="20"/>
          <w:lang w:val="hr-HR"/>
        </w:rPr>
        <w:t>Picokijada</w:t>
      </w:r>
      <w:proofErr w:type="spellEnd"/>
      <w:r w:rsidRPr="0086186A">
        <w:rPr>
          <w:rFonts w:ascii="Times New Roman" w:hAnsi="Times New Roman" w:cs="Times New Roman"/>
          <w:sz w:val="20"/>
          <w:szCs w:val="20"/>
          <w:lang w:val="hr-HR"/>
        </w:rPr>
        <w:t xml:space="preserve"> u Đurđevcu, </w:t>
      </w:r>
      <w:proofErr w:type="spellStart"/>
      <w:r w:rsidRPr="0086186A">
        <w:rPr>
          <w:rFonts w:ascii="Times New Roman" w:hAnsi="Times New Roman" w:cs="Times New Roman"/>
          <w:sz w:val="20"/>
          <w:szCs w:val="20"/>
          <w:lang w:val="hr-HR"/>
        </w:rPr>
        <w:t>Spravišće</w:t>
      </w:r>
      <w:proofErr w:type="spellEnd"/>
      <w:r w:rsidRPr="0086186A">
        <w:rPr>
          <w:rFonts w:ascii="Times New Roman" w:hAnsi="Times New Roman" w:cs="Times New Roman"/>
          <w:sz w:val="20"/>
          <w:szCs w:val="20"/>
          <w:lang w:val="hr-HR"/>
        </w:rPr>
        <w:t xml:space="preserve"> u Križevcima, </w:t>
      </w:r>
      <w:proofErr w:type="spellStart"/>
      <w:r w:rsidRPr="0086186A">
        <w:rPr>
          <w:rFonts w:ascii="Times New Roman" w:hAnsi="Times New Roman" w:cs="Times New Roman"/>
          <w:sz w:val="20"/>
          <w:szCs w:val="20"/>
          <w:lang w:val="hr-HR"/>
        </w:rPr>
        <w:t>Terezijana</w:t>
      </w:r>
      <w:proofErr w:type="spellEnd"/>
      <w:r w:rsidRPr="0086186A">
        <w:rPr>
          <w:rFonts w:ascii="Times New Roman" w:hAnsi="Times New Roman" w:cs="Times New Roman"/>
          <w:sz w:val="20"/>
          <w:szCs w:val="20"/>
          <w:lang w:val="hr-HR"/>
        </w:rPr>
        <w:t xml:space="preserve"> u Bjelovaru te velik broj vinskih i gastronomskih festivala u vinogradarskim područjima.</w:t>
      </w:r>
    </w:p>
    <w:p w14:paraId="79DF74A4" w14:textId="0C8AB576" w:rsidR="00874089" w:rsidRPr="0086186A" w:rsidRDefault="00874089" w:rsidP="00F968EF">
      <w:pPr>
        <w:pStyle w:val="BodyText"/>
        <w:ind w:left="170" w:right="135"/>
        <w:jc w:val="both"/>
        <w:rPr>
          <w:rFonts w:ascii="Times New Roman" w:hAnsi="Times New Roman" w:cs="Times New Roman"/>
          <w:sz w:val="20"/>
          <w:szCs w:val="20"/>
          <w:lang w:val="hr-HR"/>
        </w:rPr>
      </w:pPr>
    </w:p>
    <w:p w14:paraId="40602956" w14:textId="7B495C62" w:rsidR="00874089" w:rsidRPr="0086186A" w:rsidRDefault="00874089" w:rsidP="00F968E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Partnerstva među gradovima i općinama važan su temelj prekogranične suradnje i na razini projekata. Sporazumi i partnerstvu postoje između gotovo svih gradova i većih općina u pograničnom području, kao i </w:t>
      </w:r>
      <w:r w:rsidRPr="0086186A">
        <w:rPr>
          <w:rFonts w:ascii="Times New Roman" w:hAnsi="Times New Roman" w:cs="Times New Roman"/>
          <w:sz w:val="20"/>
          <w:szCs w:val="20"/>
          <w:lang w:val="hr-HR"/>
        </w:rPr>
        <w:lastRenderedPageBreak/>
        <w:t>između susjednih županija.</w:t>
      </w:r>
    </w:p>
    <w:p w14:paraId="486A2565" w14:textId="2B296F08" w:rsidR="00874089" w:rsidRPr="0086186A" w:rsidRDefault="00874089" w:rsidP="00F968EF">
      <w:pPr>
        <w:pStyle w:val="BodyText"/>
        <w:ind w:left="170" w:right="135"/>
        <w:jc w:val="both"/>
        <w:rPr>
          <w:rFonts w:ascii="Times New Roman" w:hAnsi="Times New Roman" w:cs="Times New Roman"/>
          <w:sz w:val="20"/>
          <w:szCs w:val="20"/>
          <w:lang w:val="hr-HR"/>
        </w:rPr>
      </w:pPr>
    </w:p>
    <w:p w14:paraId="6F95497D" w14:textId="5D5C3547" w:rsidR="00874089" w:rsidRPr="0086186A" w:rsidRDefault="00874089" w:rsidP="00F968E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Nadalje, brojna kulturna i umjetnička udruženja održavaju intenzivnu suradnju, što se posebno odnosi na kulturna udruženja manjina u susjednim </w:t>
      </w:r>
      <w:r w:rsidR="00F84498" w:rsidRPr="0086186A">
        <w:rPr>
          <w:rFonts w:ascii="Times New Roman" w:hAnsi="Times New Roman" w:cs="Times New Roman"/>
          <w:sz w:val="20"/>
          <w:szCs w:val="20"/>
          <w:lang w:val="hr-HR"/>
        </w:rPr>
        <w:t>državama</w:t>
      </w:r>
      <w:r w:rsidRPr="0086186A">
        <w:rPr>
          <w:rFonts w:ascii="Times New Roman" w:hAnsi="Times New Roman" w:cs="Times New Roman"/>
          <w:sz w:val="20"/>
          <w:szCs w:val="20"/>
          <w:lang w:val="hr-HR"/>
        </w:rPr>
        <w:t xml:space="preserve">. Najvažniji institucionalni akteri za manjine su Plesni ansambl Tanac i Orkestar </w:t>
      </w:r>
      <w:proofErr w:type="spellStart"/>
      <w:r w:rsidRPr="0086186A">
        <w:rPr>
          <w:rFonts w:ascii="Times New Roman" w:hAnsi="Times New Roman" w:cs="Times New Roman"/>
          <w:sz w:val="20"/>
          <w:szCs w:val="20"/>
          <w:lang w:val="hr-HR"/>
        </w:rPr>
        <w:t>Vizin</w:t>
      </w:r>
      <w:proofErr w:type="spellEnd"/>
      <w:r w:rsidRPr="0086186A">
        <w:rPr>
          <w:rFonts w:ascii="Times New Roman" w:hAnsi="Times New Roman" w:cs="Times New Roman"/>
          <w:sz w:val="20"/>
          <w:szCs w:val="20"/>
          <w:lang w:val="hr-HR"/>
        </w:rPr>
        <w:t>. Mađarski kulturni život u Hrvatskoj koncentriran je u Osječko-baranjskoj županiji.</w:t>
      </w:r>
    </w:p>
    <w:p w14:paraId="520FC47A" w14:textId="41F14DFE" w:rsidR="00874089" w:rsidRPr="0086186A" w:rsidRDefault="00874089" w:rsidP="00F968EF">
      <w:pPr>
        <w:pStyle w:val="BodyText"/>
        <w:ind w:left="170" w:right="135"/>
        <w:jc w:val="both"/>
        <w:rPr>
          <w:rFonts w:ascii="Times New Roman" w:hAnsi="Times New Roman" w:cs="Times New Roman"/>
          <w:sz w:val="20"/>
          <w:szCs w:val="20"/>
          <w:lang w:val="hr-HR"/>
        </w:rPr>
      </w:pPr>
    </w:p>
    <w:p w14:paraId="6149E2A9" w14:textId="59874A88" w:rsidR="00874089" w:rsidRPr="0086186A" w:rsidRDefault="00874089" w:rsidP="00F968E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Kulturni život najintenzivniji je u </w:t>
      </w:r>
      <w:proofErr w:type="spellStart"/>
      <w:r w:rsidRPr="0086186A">
        <w:rPr>
          <w:rFonts w:ascii="Times New Roman" w:hAnsi="Times New Roman" w:cs="Times New Roman"/>
          <w:sz w:val="20"/>
          <w:szCs w:val="20"/>
          <w:lang w:val="hr-HR"/>
        </w:rPr>
        <w:t>Baranyji</w:t>
      </w:r>
      <w:proofErr w:type="spellEnd"/>
      <w:r w:rsidRPr="0086186A">
        <w:rPr>
          <w:rFonts w:ascii="Times New Roman" w:hAnsi="Times New Roman" w:cs="Times New Roman"/>
          <w:sz w:val="20"/>
          <w:szCs w:val="20"/>
          <w:lang w:val="hr-HR"/>
        </w:rPr>
        <w:t>. Dvojezične škole pokretači su kulturne i obrazovne suradnje. Treba navesti i suradnju između Sveučilišta u Pečuhu i Sveučilišta u Osijeku. Nadalje, muzeji, arhivi i knjižnice održavaju intenzivne međusobne kontakte.</w:t>
      </w:r>
    </w:p>
    <w:p w14:paraId="364329E9" w14:textId="49AB95B4" w:rsidR="00874089" w:rsidRPr="0086186A" w:rsidRDefault="00874089" w:rsidP="00F968EF">
      <w:pPr>
        <w:pStyle w:val="BodyText"/>
        <w:ind w:left="170" w:right="135"/>
        <w:jc w:val="both"/>
        <w:rPr>
          <w:rFonts w:ascii="Times New Roman" w:hAnsi="Times New Roman" w:cs="Times New Roman"/>
          <w:sz w:val="20"/>
          <w:szCs w:val="20"/>
          <w:lang w:val="hr-HR"/>
        </w:rPr>
      </w:pPr>
    </w:p>
    <w:p w14:paraId="569AEDDC" w14:textId="62D813AE" w:rsidR="00874089" w:rsidRPr="0086186A" w:rsidRDefault="00874089" w:rsidP="00F968EF">
      <w:pPr>
        <w:pStyle w:val="BodyText"/>
        <w:ind w:left="170" w:right="135"/>
        <w:jc w:val="both"/>
        <w:rPr>
          <w:rFonts w:ascii="Times New Roman" w:hAnsi="Times New Roman" w:cs="Times New Roman"/>
          <w:i/>
          <w:iCs/>
          <w:sz w:val="20"/>
          <w:szCs w:val="20"/>
          <w:lang w:val="hr-HR"/>
        </w:rPr>
      </w:pPr>
      <w:r w:rsidRPr="0086186A">
        <w:rPr>
          <w:rFonts w:ascii="Times New Roman" w:hAnsi="Times New Roman" w:cs="Times New Roman"/>
          <w:i/>
          <w:iCs/>
          <w:sz w:val="20"/>
          <w:szCs w:val="20"/>
          <w:lang w:val="hr-HR"/>
        </w:rPr>
        <w:t>Teritorijalno upravljanje</w:t>
      </w:r>
    </w:p>
    <w:p w14:paraId="1677DBD8" w14:textId="0F39BAF3" w:rsidR="00874089" w:rsidRPr="0086186A" w:rsidRDefault="00874089" w:rsidP="00F968EF">
      <w:pPr>
        <w:pStyle w:val="BodyText"/>
        <w:ind w:left="170" w:right="135"/>
        <w:jc w:val="both"/>
        <w:rPr>
          <w:rFonts w:ascii="Times New Roman" w:hAnsi="Times New Roman" w:cs="Times New Roman"/>
          <w:sz w:val="20"/>
          <w:szCs w:val="20"/>
          <w:lang w:val="hr-HR"/>
        </w:rPr>
      </w:pPr>
    </w:p>
    <w:p w14:paraId="34C5A8B6" w14:textId="66B5253E" w:rsidR="00874089" w:rsidRPr="0086186A" w:rsidRDefault="00874089" w:rsidP="00F968E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U skladu </w:t>
      </w:r>
      <w:r w:rsidR="00483545" w:rsidRPr="0086186A">
        <w:rPr>
          <w:rFonts w:ascii="Times New Roman" w:hAnsi="Times New Roman" w:cs="Times New Roman"/>
          <w:sz w:val="20"/>
          <w:szCs w:val="20"/>
          <w:lang w:val="hr-HR"/>
        </w:rPr>
        <w:t>sa Zakonom o regionalnom razvoju, u Hrvatskoj su funkcije koordinacije uspostavljene na razini ministarstava (Ministarstvo regionalnog razvoja i fondova Europske unije), a na razini županija (</w:t>
      </w:r>
      <w:proofErr w:type="spellStart"/>
      <w:r w:rsidR="00483545" w:rsidRPr="0086186A">
        <w:rPr>
          <w:rFonts w:ascii="Times New Roman" w:hAnsi="Times New Roman" w:cs="Times New Roman"/>
          <w:sz w:val="20"/>
          <w:szCs w:val="20"/>
          <w:lang w:val="hr-HR"/>
        </w:rPr>
        <w:t>NUTS</w:t>
      </w:r>
      <w:proofErr w:type="spellEnd"/>
      <w:r w:rsidR="00483545" w:rsidRPr="0086186A">
        <w:rPr>
          <w:rFonts w:ascii="Times New Roman" w:hAnsi="Times New Roman" w:cs="Times New Roman"/>
          <w:sz w:val="20"/>
          <w:szCs w:val="20"/>
          <w:lang w:val="hr-HR"/>
        </w:rPr>
        <w:t xml:space="preserve"> 3) uspostavljeni su </w:t>
      </w:r>
      <w:r w:rsidR="00F84498" w:rsidRPr="0086186A">
        <w:rPr>
          <w:rFonts w:ascii="Times New Roman" w:hAnsi="Times New Roman" w:cs="Times New Roman"/>
          <w:sz w:val="20"/>
          <w:szCs w:val="20"/>
          <w:lang w:val="hr-HR"/>
        </w:rPr>
        <w:t>regionalni</w:t>
      </w:r>
      <w:r w:rsidR="00483545" w:rsidRPr="0086186A">
        <w:rPr>
          <w:rFonts w:ascii="Times New Roman" w:hAnsi="Times New Roman" w:cs="Times New Roman"/>
          <w:sz w:val="20"/>
          <w:szCs w:val="20"/>
          <w:lang w:val="hr-HR"/>
        </w:rPr>
        <w:t xml:space="preserve"> koordinatori (regionalne razvojne agencije) kao javne institucije i vijeća za partnerstva. U Mađarskoj je XXI. Zakonom o regionalnom razvoju i prostornom planiranju iz 1996. definiran osnovni okvir za regionalni razvoj, uključujući ulogu, odgovornosti i relevantne razvojne dokumente na različitim razinama. Koordinacija je podijeljena među različitim ministarstvima, no programima prekogranične suradnje upravlja Ministarstvo vanjskih poslova i trgovine. Na </w:t>
      </w:r>
      <w:proofErr w:type="spellStart"/>
      <w:r w:rsidR="00483545" w:rsidRPr="0086186A">
        <w:rPr>
          <w:rFonts w:ascii="Times New Roman" w:hAnsi="Times New Roman" w:cs="Times New Roman"/>
          <w:sz w:val="20"/>
          <w:szCs w:val="20"/>
          <w:lang w:val="hr-HR"/>
        </w:rPr>
        <w:t>podnacionalnoj</w:t>
      </w:r>
      <w:proofErr w:type="spellEnd"/>
      <w:r w:rsidR="00483545" w:rsidRPr="0086186A">
        <w:rPr>
          <w:rFonts w:ascii="Times New Roman" w:hAnsi="Times New Roman" w:cs="Times New Roman"/>
          <w:sz w:val="20"/>
          <w:szCs w:val="20"/>
          <w:lang w:val="hr-HR"/>
        </w:rPr>
        <w:t xml:space="preserve"> razini zakonom je definirana županija kao koordinator regionalnog i ruralnog razvoja. Ona je odgovorna za vlastiti razvojni koncept, kao i sudjelovanje u razvoju </w:t>
      </w:r>
      <w:r w:rsidR="00F84498" w:rsidRPr="0086186A">
        <w:rPr>
          <w:rFonts w:ascii="Times New Roman" w:hAnsi="Times New Roman" w:cs="Times New Roman"/>
          <w:sz w:val="20"/>
          <w:szCs w:val="20"/>
          <w:lang w:val="hr-HR"/>
        </w:rPr>
        <w:t>nacionalnih</w:t>
      </w:r>
      <w:r w:rsidR="00483545" w:rsidRPr="0086186A">
        <w:rPr>
          <w:rFonts w:ascii="Times New Roman" w:hAnsi="Times New Roman" w:cs="Times New Roman"/>
          <w:sz w:val="20"/>
          <w:szCs w:val="20"/>
          <w:lang w:val="hr-HR"/>
        </w:rPr>
        <w:t xml:space="preserve"> dokumenata.</w:t>
      </w:r>
    </w:p>
    <w:p w14:paraId="79E12873" w14:textId="4DD9C34E" w:rsidR="00483545" w:rsidRPr="0086186A" w:rsidRDefault="00483545" w:rsidP="00F968EF">
      <w:pPr>
        <w:pStyle w:val="BodyText"/>
        <w:ind w:left="170" w:right="135"/>
        <w:jc w:val="both"/>
        <w:rPr>
          <w:rFonts w:ascii="Times New Roman" w:hAnsi="Times New Roman" w:cs="Times New Roman"/>
          <w:sz w:val="20"/>
          <w:szCs w:val="20"/>
          <w:lang w:val="hr-HR"/>
        </w:rPr>
      </w:pPr>
    </w:p>
    <w:p w14:paraId="3626672C" w14:textId="1893384A" w:rsidR="00483545" w:rsidRPr="0086186A" w:rsidRDefault="00483545" w:rsidP="00F968E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S obzirom na </w:t>
      </w:r>
      <w:proofErr w:type="spellStart"/>
      <w:r w:rsidRPr="0086186A">
        <w:rPr>
          <w:rFonts w:ascii="Times New Roman" w:hAnsi="Times New Roman" w:cs="Times New Roman"/>
          <w:sz w:val="20"/>
          <w:szCs w:val="20"/>
          <w:lang w:val="hr-HR"/>
        </w:rPr>
        <w:t>NUTS</w:t>
      </w:r>
      <w:proofErr w:type="spellEnd"/>
      <w:r w:rsidRPr="0086186A">
        <w:rPr>
          <w:rFonts w:ascii="Times New Roman" w:hAnsi="Times New Roman" w:cs="Times New Roman"/>
          <w:sz w:val="20"/>
          <w:szCs w:val="20"/>
          <w:lang w:val="hr-HR"/>
        </w:rPr>
        <w:t xml:space="preserve"> 2 regije, u Mađarskoj županije </w:t>
      </w:r>
      <w:proofErr w:type="spellStart"/>
      <w:r w:rsidRPr="0086186A">
        <w:rPr>
          <w:rFonts w:ascii="Times New Roman" w:hAnsi="Times New Roman" w:cs="Times New Roman"/>
          <w:sz w:val="20"/>
          <w:szCs w:val="20"/>
          <w:lang w:val="hr-HR"/>
        </w:rPr>
        <w:t>Baranya</w:t>
      </w:r>
      <w:proofErr w:type="spellEnd"/>
      <w:r w:rsidRPr="0086186A">
        <w:rPr>
          <w:rFonts w:ascii="Times New Roman" w:hAnsi="Times New Roman" w:cs="Times New Roman"/>
          <w:sz w:val="20"/>
          <w:szCs w:val="20"/>
          <w:lang w:val="hr-HR"/>
        </w:rPr>
        <w:t xml:space="preserve"> i </w:t>
      </w:r>
      <w:proofErr w:type="spellStart"/>
      <w:r w:rsidRPr="0086186A">
        <w:rPr>
          <w:rFonts w:ascii="Times New Roman" w:hAnsi="Times New Roman" w:cs="Times New Roman"/>
          <w:sz w:val="20"/>
          <w:szCs w:val="20"/>
          <w:lang w:val="hr-HR"/>
        </w:rPr>
        <w:t>Somogy</w:t>
      </w:r>
      <w:proofErr w:type="spellEnd"/>
      <w:r w:rsidRPr="0086186A">
        <w:rPr>
          <w:rFonts w:ascii="Times New Roman" w:hAnsi="Times New Roman" w:cs="Times New Roman"/>
          <w:sz w:val="20"/>
          <w:szCs w:val="20"/>
          <w:lang w:val="hr-HR"/>
        </w:rPr>
        <w:t xml:space="preserve"> pripadaju južnom Podunavlju, dok Zala pripada zapadnom Podunavlju.</w:t>
      </w:r>
      <w:r w:rsidR="00A60C57" w:rsidRPr="0086186A">
        <w:rPr>
          <w:rFonts w:ascii="Times New Roman" w:hAnsi="Times New Roman" w:cs="Times New Roman"/>
          <w:sz w:val="20"/>
          <w:szCs w:val="20"/>
          <w:lang w:val="hr-HR"/>
        </w:rPr>
        <w:t xml:space="preserve"> U Hrvatskoj je usvojena nova struktura </w:t>
      </w:r>
      <w:proofErr w:type="spellStart"/>
      <w:r w:rsidR="00A60C57" w:rsidRPr="0086186A">
        <w:rPr>
          <w:rFonts w:ascii="Times New Roman" w:hAnsi="Times New Roman" w:cs="Times New Roman"/>
          <w:sz w:val="20"/>
          <w:szCs w:val="20"/>
          <w:lang w:val="hr-HR"/>
        </w:rPr>
        <w:t>NUTS</w:t>
      </w:r>
      <w:proofErr w:type="spellEnd"/>
      <w:r w:rsidR="00A60C57" w:rsidRPr="0086186A">
        <w:rPr>
          <w:rFonts w:ascii="Times New Roman" w:hAnsi="Times New Roman" w:cs="Times New Roman"/>
          <w:sz w:val="20"/>
          <w:szCs w:val="20"/>
          <w:lang w:val="hr-HR"/>
        </w:rPr>
        <w:t xml:space="preserve"> 2: od 2021. županije</w:t>
      </w:r>
      <w:r w:rsidR="00A60C57" w:rsidRPr="0086186A">
        <w:rPr>
          <w:lang w:val="hr-HR"/>
        </w:rPr>
        <w:t xml:space="preserve"> </w:t>
      </w:r>
      <w:r w:rsidR="00A60C57" w:rsidRPr="0086186A">
        <w:rPr>
          <w:rFonts w:ascii="Times New Roman" w:hAnsi="Times New Roman" w:cs="Times New Roman"/>
          <w:sz w:val="20"/>
          <w:szCs w:val="20"/>
          <w:lang w:val="hr-HR"/>
        </w:rPr>
        <w:t xml:space="preserve">Koprivničko-križevačka, Krapinsko-zagorska, Međimurska, Varaždinska i Zagrebačka (bez Grada Zagreba) čine zasebnu regiju </w:t>
      </w:r>
      <w:proofErr w:type="spellStart"/>
      <w:r w:rsidR="00A60C57" w:rsidRPr="0086186A">
        <w:rPr>
          <w:rFonts w:ascii="Times New Roman" w:hAnsi="Times New Roman" w:cs="Times New Roman"/>
          <w:sz w:val="20"/>
          <w:szCs w:val="20"/>
          <w:lang w:val="hr-HR"/>
        </w:rPr>
        <w:t>NUTS</w:t>
      </w:r>
      <w:proofErr w:type="spellEnd"/>
      <w:r w:rsidR="00A60C57" w:rsidRPr="0086186A">
        <w:rPr>
          <w:rFonts w:ascii="Times New Roman" w:hAnsi="Times New Roman" w:cs="Times New Roman"/>
          <w:sz w:val="20"/>
          <w:szCs w:val="20"/>
          <w:lang w:val="hr-HR"/>
        </w:rPr>
        <w:t xml:space="preserve"> 2 pod nazivom Sjeverna Hrvatska, dok Panonska Hrvatska uključuje ostale hrvatske županije u pograničnom području.</w:t>
      </w:r>
    </w:p>
    <w:p w14:paraId="62E33996" w14:textId="42250D01" w:rsidR="00A60C57" w:rsidRPr="0086186A" w:rsidRDefault="00A60C57" w:rsidP="00F968EF">
      <w:pPr>
        <w:pStyle w:val="BodyText"/>
        <w:ind w:left="170" w:right="135"/>
        <w:jc w:val="both"/>
        <w:rPr>
          <w:rFonts w:ascii="Times New Roman" w:hAnsi="Times New Roman" w:cs="Times New Roman"/>
          <w:sz w:val="20"/>
          <w:szCs w:val="20"/>
          <w:lang w:val="hr-HR"/>
        </w:rPr>
      </w:pPr>
    </w:p>
    <w:p w14:paraId="2270AD37" w14:textId="3992853B" w:rsidR="00A60C57" w:rsidRPr="0086186A" w:rsidRDefault="00A60C57" w:rsidP="00F968E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Važno je ukazati na značajne razlike u upravljanju sektorom turizma. U Hrvatskoj bi svaka županija trebala osnovati turističku zajednicu. Gradovi, kao i neke općine, imaju svoje turističke zajednice. Turističke zajednice su javna tijela i pravne osobe. U Mađarskoj ne postoje slične organizacije jer se sektor turizma koordinira isključivo na nacionalnoj razini, a razvoj i promidžbu </w:t>
      </w:r>
      <w:r w:rsidR="00F84498" w:rsidRPr="0086186A">
        <w:rPr>
          <w:rFonts w:ascii="Times New Roman" w:hAnsi="Times New Roman" w:cs="Times New Roman"/>
          <w:sz w:val="20"/>
          <w:szCs w:val="20"/>
          <w:lang w:val="hr-HR"/>
        </w:rPr>
        <w:t>destinacije</w:t>
      </w:r>
      <w:r w:rsidRPr="0086186A">
        <w:rPr>
          <w:rFonts w:ascii="Times New Roman" w:hAnsi="Times New Roman" w:cs="Times New Roman"/>
          <w:sz w:val="20"/>
          <w:szCs w:val="20"/>
          <w:lang w:val="hr-HR"/>
        </w:rPr>
        <w:t xml:space="preserve"> koordiniraju lokalne uprave na temelju vlastitih resursa.</w:t>
      </w:r>
    </w:p>
    <w:p w14:paraId="103051D3" w14:textId="28BFB8FC" w:rsidR="00F841E6" w:rsidRPr="0086186A" w:rsidRDefault="00F841E6" w:rsidP="00F968EF">
      <w:pPr>
        <w:pStyle w:val="BodyText"/>
        <w:ind w:left="170" w:right="135"/>
        <w:jc w:val="both"/>
        <w:rPr>
          <w:rFonts w:ascii="Times New Roman" w:hAnsi="Times New Roman" w:cs="Times New Roman"/>
          <w:sz w:val="20"/>
          <w:szCs w:val="20"/>
          <w:lang w:val="hr-HR"/>
        </w:rPr>
      </w:pPr>
    </w:p>
    <w:p w14:paraId="5E287143" w14:textId="5C38D907" w:rsidR="00F841E6" w:rsidRPr="0086186A" w:rsidRDefault="00F841E6" w:rsidP="00F968E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U Hrvatskoj je s ciljem provedbe Integriranog teritorijalnog ulaganja definirano ukupno sedam urbanih aglomeracija, od kojih se Osijek nalazi u pograničnom području. Osim Osijeka, aglomeracija se sastoji još od dva grada (Belišće i Valpovo) i šesnaest općina. U sklopu primjene alata Lokalnog razvoja na temelju zajednice (</w:t>
      </w:r>
      <w:proofErr w:type="spellStart"/>
      <w:r w:rsidRPr="0086186A">
        <w:rPr>
          <w:rFonts w:ascii="Times New Roman" w:hAnsi="Times New Roman" w:cs="Times New Roman"/>
          <w:sz w:val="20"/>
          <w:szCs w:val="20"/>
          <w:lang w:val="hr-HR"/>
        </w:rPr>
        <w:t>CLLD</w:t>
      </w:r>
      <w:proofErr w:type="spellEnd"/>
      <w:r w:rsidRPr="0086186A">
        <w:rPr>
          <w:rFonts w:ascii="Times New Roman" w:hAnsi="Times New Roman" w:cs="Times New Roman"/>
          <w:sz w:val="20"/>
          <w:szCs w:val="20"/>
          <w:lang w:val="hr-HR"/>
        </w:rPr>
        <w:t>) s obzirom na upravljanje ruralnim razvojem, u obje su države uspostavljene lokalne akcijske skupine (LAS) unutar programa LEADER. U razdoblju od 2014. do 2020. na mađarskoj strani uz granicu djeluje šest LAS-ova, a u cijelom pograničnom području ukupno osamnaest. Na sličan način, na hrvatskoj strani u pograničnom području uspostavljeno je sedam LEADER LAS-ova, a ukupno 23 LAS-ova djeluje u cijelom pograničnom području. LAS-ovi uspostavljaju vlastite razvojne strategije i radna tijela.</w:t>
      </w:r>
    </w:p>
    <w:p w14:paraId="0BEACCEB" w14:textId="49C41203" w:rsidR="00F841E6" w:rsidRPr="0086186A" w:rsidRDefault="00F841E6" w:rsidP="00F968EF">
      <w:pPr>
        <w:pStyle w:val="BodyText"/>
        <w:ind w:left="170" w:right="135"/>
        <w:jc w:val="both"/>
        <w:rPr>
          <w:rFonts w:ascii="Times New Roman" w:hAnsi="Times New Roman" w:cs="Times New Roman"/>
          <w:sz w:val="20"/>
          <w:szCs w:val="20"/>
          <w:lang w:val="hr-HR"/>
        </w:rPr>
      </w:pPr>
    </w:p>
    <w:p w14:paraId="01F3D13D" w14:textId="3506CC05" w:rsidR="00F841E6" w:rsidRPr="0086186A" w:rsidRDefault="000534C7" w:rsidP="00F968E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Na </w:t>
      </w:r>
      <w:proofErr w:type="spellStart"/>
      <w:r w:rsidRPr="0086186A">
        <w:rPr>
          <w:rFonts w:ascii="Times New Roman" w:hAnsi="Times New Roman" w:cs="Times New Roman"/>
          <w:sz w:val="20"/>
          <w:szCs w:val="20"/>
          <w:lang w:val="hr-HR"/>
        </w:rPr>
        <w:t>makroregionalnoj</w:t>
      </w:r>
      <w:proofErr w:type="spellEnd"/>
      <w:r w:rsidRPr="0086186A">
        <w:rPr>
          <w:rFonts w:ascii="Times New Roman" w:hAnsi="Times New Roman" w:cs="Times New Roman"/>
          <w:sz w:val="20"/>
          <w:szCs w:val="20"/>
          <w:lang w:val="hr-HR"/>
        </w:rPr>
        <w:t xml:space="preserve"> razini potrebno je spomenuti mehanizam koordinacije prekograničnog upravljanja </w:t>
      </w:r>
      <w:proofErr w:type="spellStart"/>
      <w:r w:rsidRPr="0086186A">
        <w:rPr>
          <w:rFonts w:ascii="Times New Roman" w:hAnsi="Times New Roman" w:cs="Times New Roman"/>
          <w:sz w:val="20"/>
          <w:szCs w:val="20"/>
          <w:lang w:val="hr-HR"/>
        </w:rPr>
        <w:t>EUSDR</w:t>
      </w:r>
      <w:proofErr w:type="spellEnd"/>
      <w:r w:rsidRPr="0086186A">
        <w:rPr>
          <w:rFonts w:ascii="Times New Roman" w:hAnsi="Times New Roman" w:cs="Times New Roman"/>
          <w:sz w:val="20"/>
          <w:szCs w:val="20"/>
          <w:lang w:val="hr-HR"/>
        </w:rPr>
        <w:t xml:space="preserve">-a. I Hrvatska i Mađarska igraju aktivnu ulogu u koordinaciji prioritetnih osi: Mađarska je odgovorna za koordinaciju PA 2 (održiva energija), PA 4 (kvaliteta </w:t>
      </w:r>
      <w:r w:rsidR="00F84498" w:rsidRPr="0086186A">
        <w:rPr>
          <w:rFonts w:ascii="Times New Roman" w:hAnsi="Times New Roman" w:cs="Times New Roman"/>
          <w:sz w:val="20"/>
          <w:szCs w:val="20"/>
          <w:lang w:val="hr-HR"/>
        </w:rPr>
        <w:t>vode</w:t>
      </w:r>
      <w:r w:rsidRPr="0086186A">
        <w:rPr>
          <w:rFonts w:ascii="Times New Roman" w:hAnsi="Times New Roman" w:cs="Times New Roman"/>
          <w:sz w:val="20"/>
          <w:szCs w:val="20"/>
          <w:lang w:val="hr-HR"/>
        </w:rPr>
        <w:t xml:space="preserve">) i PA 5 (ekološki rizici). Hrvatska je </w:t>
      </w:r>
      <w:proofErr w:type="spellStart"/>
      <w:r w:rsidRPr="0086186A">
        <w:rPr>
          <w:rFonts w:ascii="Times New Roman" w:hAnsi="Times New Roman" w:cs="Times New Roman"/>
          <w:sz w:val="20"/>
          <w:szCs w:val="20"/>
          <w:lang w:val="hr-HR"/>
        </w:rPr>
        <w:t>sukoordinator</w:t>
      </w:r>
      <w:proofErr w:type="spellEnd"/>
      <w:r w:rsidRPr="0086186A">
        <w:rPr>
          <w:rFonts w:ascii="Times New Roman" w:hAnsi="Times New Roman" w:cs="Times New Roman"/>
          <w:sz w:val="20"/>
          <w:szCs w:val="20"/>
          <w:lang w:val="hr-HR"/>
        </w:rPr>
        <w:t xml:space="preserve"> za PA 6 (biološka raznolikost, krajobrazi, kvaliteta zraka i tla) i PA 8 (konkurentnost poduzećâ). Prije početka novog programskog razdoblja Europska komisija objavila je novi Akcijski plan za </w:t>
      </w:r>
      <w:proofErr w:type="spellStart"/>
      <w:r w:rsidRPr="0086186A">
        <w:rPr>
          <w:rFonts w:ascii="Times New Roman" w:hAnsi="Times New Roman" w:cs="Times New Roman"/>
          <w:sz w:val="20"/>
          <w:szCs w:val="20"/>
          <w:lang w:val="hr-HR"/>
        </w:rPr>
        <w:t>EUSDR</w:t>
      </w:r>
      <w:proofErr w:type="spellEnd"/>
      <w:r w:rsidRPr="0086186A">
        <w:rPr>
          <w:rFonts w:ascii="Times New Roman" w:hAnsi="Times New Roman" w:cs="Times New Roman"/>
          <w:sz w:val="20"/>
          <w:szCs w:val="20"/>
          <w:lang w:val="hr-HR"/>
        </w:rPr>
        <w:t xml:space="preserve"> i skraćeni popis prioriteta za ugrađivanje u relevantne programe financiranja EU-a kao što je </w:t>
      </w:r>
      <w:proofErr w:type="spellStart"/>
      <w:r w:rsidRPr="0086186A">
        <w:rPr>
          <w:rFonts w:ascii="Times New Roman" w:hAnsi="Times New Roman" w:cs="Times New Roman"/>
          <w:sz w:val="20"/>
          <w:szCs w:val="20"/>
          <w:lang w:val="hr-HR"/>
        </w:rPr>
        <w:t>Interreg</w:t>
      </w:r>
      <w:proofErr w:type="spellEnd"/>
      <w:r w:rsidRPr="0086186A">
        <w:rPr>
          <w:rFonts w:ascii="Times New Roman" w:hAnsi="Times New Roman" w:cs="Times New Roman"/>
          <w:sz w:val="20"/>
          <w:szCs w:val="20"/>
          <w:lang w:val="hr-HR"/>
        </w:rPr>
        <w:t xml:space="preserve"> program Mađarska-Hrvatska.</w:t>
      </w:r>
    </w:p>
    <w:p w14:paraId="73CBDA6B" w14:textId="6E872BC9" w:rsidR="000534C7" w:rsidRPr="0086186A" w:rsidRDefault="000534C7" w:rsidP="00F968EF">
      <w:pPr>
        <w:pStyle w:val="BodyText"/>
        <w:ind w:left="170" w:right="135"/>
        <w:jc w:val="both"/>
        <w:rPr>
          <w:rFonts w:ascii="Times New Roman" w:hAnsi="Times New Roman" w:cs="Times New Roman"/>
          <w:sz w:val="20"/>
          <w:szCs w:val="20"/>
          <w:lang w:val="hr-HR"/>
        </w:rPr>
      </w:pPr>
    </w:p>
    <w:p w14:paraId="52A7B408" w14:textId="4A71D13C" w:rsidR="000534C7" w:rsidRPr="0086186A" w:rsidRDefault="003E084B" w:rsidP="00F968E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na </w:t>
      </w:r>
      <w:r w:rsidR="00F84498" w:rsidRPr="0086186A">
        <w:rPr>
          <w:rFonts w:ascii="Times New Roman" w:hAnsi="Times New Roman" w:cs="Times New Roman"/>
          <w:sz w:val="20"/>
          <w:szCs w:val="20"/>
          <w:lang w:val="hr-HR"/>
        </w:rPr>
        <w:t>regionalnoj</w:t>
      </w:r>
      <w:r w:rsidRPr="0086186A">
        <w:rPr>
          <w:rFonts w:ascii="Times New Roman" w:hAnsi="Times New Roman" w:cs="Times New Roman"/>
          <w:sz w:val="20"/>
          <w:szCs w:val="20"/>
          <w:lang w:val="hr-HR"/>
        </w:rPr>
        <w:t xml:space="preserve"> i lokalnoj razini institucionalizacija prekogranične suradnje odvila se kroz uspostavu (do sada) dvije europske grupacije za teritorijalnu suradnju (</w:t>
      </w:r>
      <w:proofErr w:type="spellStart"/>
      <w:r w:rsidRPr="0086186A">
        <w:rPr>
          <w:rFonts w:ascii="Times New Roman" w:hAnsi="Times New Roman" w:cs="Times New Roman"/>
          <w:sz w:val="20"/>
          <w:szCs w:val="20"/>
          <w:lang w:val="hr-HR"/>
        </w:rPr>
        <w:t>EGTS</w:t>
      </w:r>
      <w:proofErr w:type="spellEnd"/>
      <w:r w:rsidRPr="0086186A">
        <w:rPr>
          <w:rFonts w:ascii="Times New Roman" w:hAnsi="Times New Roman" w:cs="Times New Roman"/>
          <w:sz w:val="20"/>
          <w:szCs w:val="20"/>
          <w:lang w:val="hr-HR"/>
        </w:rPr>
        <w:t xml:space="preserve">) u pograničnom području, Panonska </w:t>
      </w:r>
      <w:proofErr w:type="spellStart"/>
      <w:r w:rsidRPr="0086186A">
        <w:rPr>
          <w:rFonts w:ascii="Times New Roman" w:hAnsi="Times New Roman" w:cs="Times New Roman"/>
          <w:sz w:val="20"/>
          <w:szCs w:val="20"/>
          <w:lang w:val="hr-HR"/>
        </w:rPr>
        <w:t>EGTS</w:t>
      </w:r>
      <w:proofErr w:type="spellEnd"/>
      <w:r w:rsidRPr="0086186A">
        <w:rPr>
          <w:rFonts w:ascii="Times New Roman" w:hAnsi="Times New Roman" w:cs="Times New Roman"/>
          <w:sz w:val="20"/>
          <w:szCs w:val="20"/>
          <w:lang w:val="hr-HR"/>
        </w:rPr>
        <w:t xml:space="preserve">, uspostavljena 2010., proširena je hrvatskim članovima od 2017. a uključene su sve pogranične županije, kao i brojne lokalne uprave i tri organizacije od regionalnog značaja na mađarskoj strani. </w:t>
      </w:r>
      <w:proofErr w:type="spellStart"/>
      <w:r w:rsidRPr="0086186A">
        <w:rPr>
          <w:rFonts w:ascii="Times New Roman" w:hAnsi="Times New Roman" w:cs="Times New Roman"/>
          <w:sz w:val="20"/>
          <w:szCs w:val="20"/>
          <w:lang w:val="hr-HR"/>
        </w:rPr>
        <w:t>EGTS</w:t>
      </w:r>
      <w:proofErr w:type="spellEnd"/>
      <w:r w:rsidRPr="0086186A">
        <w:rPr>
          <w:rFonts w:ascii="Times New Roman" w:hAnsi="Times New Roman" w:cs="Times New Roman"/>
          <w:sz w:val="20"/>
          <w:szCs w:val="20"/>
          <w:lang w:val="hr-HR"/>
        </w:rPr>
        <w:t xml:space="preserve"> Mura teritorijalno je koncentrirano, no vrlo aktivno partnerstvo, uspostavljeno 2015. Nadalje, Grad Varaždin član je Srednjoeuropskoga prometnoga koridora, </w:t>
      </w:r>
      <w:proofErr w:type="spellStart"/>
      <w:r w:rsidRPr="0086186A">
        <w:rPr>
          <w:rFonts w:ascii="Times New Roman" w:hAnsi="Times New Roman" w:cs="Times New Roman"/>
          <w:sz w:val="20"/>
          <w:szCs w:val="20"/>
          <w:lang w:val="hr-HR"/>
        </w:rPr>
        <w:t>EGTS</w:t>
      </w:r>
      <w:proofErr w:type="spellEnd"/>
      <w:r w:rsidRPr="0086186A">
        <w:rPr>
          <w:rFonts w:ascii="Times New Roman" w:hAnsi="Times New Roman" w:cs="Times New Roman"/>
          <w:sz w:val="20"/>
          <w:szCs w:val="20"/>
          <w:lang w:val="hr-HR"/>
        </w:rPr>
        <w:t xml:space="preserve">-a koji se sastoji od više država i koji je uspostavljen 2014. Cilj </w:t>
      </w:r>
      <w:proofErr w:type="spellStart"/>
      <w:r w:rsidRPr="0086186A">
        <w:rPr>
          <w:rFonts w:ascii="Times New Roman" w:hAnsi="Times New Roman" w:cs="Times New Roman"/>
          <w:sz w:val="20"/>
          <w:szCs w:val="20"/>
          <w:lang w:val="hr-HR"/>
        </w:rPr>
        <w:t>EGTS</w:t>
      </w:r>
      <w:proofErr w:type="spellEnd"/>
      <w:r w:rsidRPr="0086186A">
        <w:rPr>
          <w:rFonts w:ascii="Times New Roman" w:hAnsi="Times New Roman" w:cs="Times New Roman"/>
          <w:sz w:val="20"/>
          <w:szCs w:val="20"/>
          <w:lang w:val="hr-HR"/>
        </w:rPr>
        <w:t xml:space="preserve">-a jest olakšavanje i promidžba prekogranične, transnacionalne i transregionalne suradnje radi jačanja gospodarske kohezije kroz unapređenje prometne pristupačnosti duž osi sjever-jug </w:t>
      </w:r>
      <w:proofErr w:type="spellStart"/>
      <w:r w:rsidRPr="0086186A">
        <w:rPr>
          <w:rFonts w:ascii="Times New Roman" w:hAnsi="Times New Roman" w:cs="Times New Roman"/>
          <w:sz w:val="20"/>
          <w:szCs w:val="20"/>
          <w:lang w:val="hr-HR"/>
        </w:rPr>
        <w:t>multimodalnoga</w:t>
      </w:r>
      <w:proofErr w:type="spellEnd"/>
      <w:r w:rsidRPr="0086186A">
        <w:rPr>
          <w:rFonts w:ascii="Times New Roman" w:hAnsi="Times New Roman" w:cs="Times New Roman"/>
          <w:sz w:val="20"/>
          <w:szCs w:val="20"/>
          <w:lang w:val="hr-HR"/>
        </w:rPr>
        <w:t xml:space="preserve"> </w:t>
      </w:r>
      <w:r w:rsidRPr="0086186A">
        <w:rPr>
          <w:rFonts w:ascii="Times New Roman" w:hAnsi="Times New Roman" w:cs="Times New Roman"/>
          <w:sz w:val="20"/>
          <w:szCs w:val="20"/>
          <w:lang w:val="hr-HR"/>
        </w:rPr>
        <w:lastRenderedPageBreak/>
        <w:t>prometnoga koridora od Baltika do Jadranskog mora.</w:t>
      </w:r>
    </w:p>
    <w:p w14:paraId="0DF678FC" w14:textId="438C1072" w:rsidR="003E084B" w:rsidRPr="0086186A" w:rsidRDefault="003E084B" w:rsidP="00F968EF">
      <w:pPr>
        <w:pStyle w:val="BodyText"/>
        <w:ind w:left="170" w:right="135"/>
        <w:jc w:val="both"/>
        <w:rPr>
          <w:rFonts w:ascii="Times New Roman" w:hAnsi="Times New Roman" w:cs="Times New Roman"/>
          <w:sz w:val="20"/>
          <w:szCs w:val="20"/>
          <w:lang w:val="hr-HR"/>
        </w:rPr>
      </w:pPr>
    </w:p>
    <w:p w14:paraId="6F5FC864" w14:textId="5A2414E0" w:rsidR="003E084B" w:rsidRPr="0086186A" w:rsidRDefault="003E084B" w:rsidP="00F968E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Radi promicanja kohezije i unapređenja djelotvornosti politika regionalnog i ruralnog razvoja u pograničnom području potrebno je podržati suradnju između različitih razina teritorijalnog upravljanja. Potrebno je održavati tematsku suradnja u raznim temama i suradnju između organizacija civilnog društva jer su to nositelji identiteta pograničnog područja.</w:t>
      </w:r>
    </w:p>
    <w:p w14:paraId="3541BA61" w14:textId="3597EF62" w:rsidR="00042D5F" w:rsidRPr="0086186A" w:rsidRDefault="00042D5F" w:rsidP="00F968EF">
      <w:pPr>
        <w:pStyle w:val="BodyText"/>
        <w:ind w:left="170" w:right="135"/>
        <w:jc w:val="both"/>
        <w:rPr>
          <w:rFonts w:ascii="Times New Roman" w:hAnsi="Times New Roman" w:cs="Times New Roman"/>
          <w:sz w:val="20"/>
          <w:szCs w:val="20"/>
          <w:lang w:val="hr-HR"/>
        </w:rPr>
      </w:pPr>
    </w:p>
    <w:p w14:paraId="20C75BC5" w14:textId="05C1A328" w:rsidR="00042D5F" w:rsidRPr="0086186A" w:rsidRDefault="00042D5F" w:rsidP="00F968EF">
      <w:pPr>
        <w:pStyle w:val="BodyText"/>
        <w:ind w:left="170" w:right="135"/>
        <w:jc w:val="both"/>
        <w:rPr>
          <w:rFonts w:ascii="Times New Roman" w:hAnsi="Times New Roman" w:cs="Times New Roman"/>
          <w:b/>
          <w:bCs/>
          <w:sz w:val="20"/>
          <w:szCs w:val="20"/>
          <w:lang w:val="hr-HR"/>
        </w:rPr>
      </w:pPr>
      <w:r w:rsidRPr="0086186A">
        <w:rPr>
          <w:rFonts w:ascii="Times New Roman" w:hAnsi="Times New Roman" w:cs="Times New Roman"/>
          <w:b/>
          <w:bCs/>
          <w:sz w:val="20"/>
          <w:szCs w:val="20"/>
          <w:lang w:val="hr-HR"/>
        </w:rPr>
        <w:t>Stečena iskustva</w:t>
      </w:r>
    </w:p>
    <w:p w14:paraId="709CE02A" w14:textId="4D5092A9" w:rsidR="00042D5F" w:rsidRPr="0086186A" w:rsidRDefault="00042D5F" w:rsidP="00F968EF">
      <w:pPr>
        <w:pStyle w:val="BodyText"/>
        <w:ind w:left="170" w:right="135"/>
        <w:jc w:val="both"/>
        <w:rPr>
          <w:rFonts w:ascii="Times New Roman" w:hAnsi="Times New Roman" w:cs="Times New Roman"/>
          <w:sz w:val="20"/>
          <w:szCs w:val="20"/>
          <w:lang w:val="hr-HR"/>
        </w:rPr>
      </w:pPr>
    </w:p>
    <w:p w14:paraId="27172A59" w14:textId="4AB9FE87" w:rsidR="00042D5F" w:rsidRPr="0086186A" w:rsidRDefault="00042D5F" w:rsidP="00F968E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Program suradnje Mađarska-Hrvatska zreo je program prekogranične suradnje koji ulazi u četvrto uzastopno razdoblje programiranja. Stečeno iskustvo dobiveno je iz njegove duge povijesti, a posebno iz razdoblja od 2014. do 2020., podložno detaljnoj procjeni utjecaja provedenoj u 2020. i 2021. Ključni nalazi dokazuju da program pouzdano njeguje relevantne i izvedive projekte te ostvaruje planirane ishode i rezultate na temelju iscrpne pripreme, koherentne logike intervencije i fleksibilnosti koju zajednički omogućuju dvije države članice koje međusobno surađuju. Te kvalitete </w:t>
      </w:r>
      <w:r w:rsidR="00F84498" w:rsidRPr="0086186A">
        <w:rPr>
          <w:rFonts w:ascii="Times New Roman" w:hAnsi="Times New Roman" w:cs="Times New Roman"/>
          <w:sz w:val="20"/>
          <w:szCs w:val="20"/>
          <w:lang w:val="hr-HR"/>
        </w:rPr>
        <w:t>pomogle su</w:t>
      </w:r>
      <w:r w:rsidRPr="0086186A">
        <w:rPr>
          <w:rFonts w:ascii="Times New Roman" w:hAnsi="Times New Roman" w:cs="Times New Roman"/>
          <w:sz w:val="20"/>
          <w:szCs w:val="20"/>
          <w:lang w:val="hr-HR"/>
        </w:rPr>
        <w:t xml:space="preserve"> programu da se izvuče iz poteškoća uzrokovanih pandemijom COVID-19 bez ozbiljnih posljedica na ukupne utjecaje ili mogućnost financijske apsorpcije.</w:t>
      </w:r>
    </w:p>
    <w:p w14:paraId="3821C4F1" w14:textId="028D2360" w:rsidR="00042D5F" w:rsidRPr="0086186A" w:rsidRDefault="00042D5F" w:rsidP="00F968EF">
      <w:pPr>
        <w:pStyle w:val="BodyText"/>
        <w:ind w:left="170" w:right="135"/>
        <w:jc w:val="both"/>
        <w:rPr>
          <w:rFonts w:ascii="Times New Roman" w:hAnsi="Times New Roman" w:cs="Times New Roman"/>
          <w:sz w:val="20"/>
          <w:szCs w:val="20"/>
          <w:lang w:val="hr-HR"/>
        </w:rPr>
      </w:pPr>
    </w:p>
    <w:p w14:paraId="7B92DAD6" w14:textId="36299BC9" w:rsidR="00042D5F" w:rsidRPr="0086186A" w:rsidRDefault="00042D5F" w:rsidP="00F968EF">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Područja za unapređenje općenite provedbe:</w:t>
      </w:r>
    </w:p>
    <w:p w14:paraId="04973A40" w14:textId="5FBECA7E" w:rsidR="00042D5F" w:rsidRPr="0086186A" w:rsidRDefault="00042D5F" w:rsidP="00042D5F">
      <w:pPr>
        <w:pStyle w:val="BodyText"/>
        <w:numPr>
          <w:ilvl w:val="0"/>
          <w:numId w:val="35"/>
        </w:numPr>
        <w:ind w:left="567"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Hrvatske županije koje se ne nalaze odmah uz granicu postaju korisnici programa s kojima se jednako postupa po prvi put u razdoblju od 2014. do 2020., no bile su značajno manje aktivne od ostalih područja. Bile su aktivno uključene u aktivnosti savjetovanja za tekući program, no bit će im potrebna daljnja pozornost i motivacija tijekom razdoblja </w:t>
      </w:r>
      <w:r w:rsidR="00F84498" w:rsidRPr="0086186A">
        <w:rPr>
          <w:rFonts w:ascii="Times New Roman" w:hAnsi="Times New Roman" w:cs="Times New Roman"/>
          <w:sz w:val="20"/>
          <w:szCs w:val="20"/>
          <w:lang w:val="hr-HR"/>
        </w:rPr>
        <w:t>provedbe</w:t>
      </w:r>
      <w:r w:rsidRPr="0086186A">
        <w:rPr>
          <w:rFonts w:ascii="Times New Roman" w:hAnsi="Times New Roman" w:cs="Times New Roman"/>
          <w:sz w:val="20"/>
          <w:szCs w:val="20"/>
          <w:lang w:val="hr-HR"/>
        </w:rPr>
        <w:t>.</w:t>
      </w:r>
    </w:p>
    <w:p w14:paraId="5A867C22" w14:textId="312017D5" w:rsidR="00042D5F" w:rsidRPr="0086186A" w:rsidRDefault="00042D5F" w:rsidP="00042D5F">
      <w:pPr>
        <w:pStyle w:val="BodyText"/>
        <w:numPr>
          <w:ilvl w:val="0"/>
          <w:numId w:val="35"/>
        </w:numPr>
        <w:ind w:left="567"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Definicija i tumačenje određenih pokazatelja za razdoblje od 2014. do 2020. bili su kontroverzni pa se stoga u tekućem programu upotrebljavaju uglavnom pokazatelji specifični za </w:t>
      </w:r>
      <w:proofErr w:type="spellStart"/>
      <w:r w:rsidRPr="0086186A">
        <w:rPr>
          <w:rFonts w:ascii="Times New Roman" w:hAnsi="Times New Roman" w:cs="Times New Roman"/>
          <w:sz w:val="20"/>
          <w:szCs w:val="20"/>
          <w:lang w:val="hr-HR"/>
        </w:rPr>
        <w:t>Interreg</w:t>
      </w:r>
      <w:proofErr w:type="spellEnd"/>
      <w:r w:rsidRPr="0086186A">
        <w:rPr>
          <w:rFonts w:ascii="Times New Roman" w:hAnsi="Times New Roman" w:cs="Times New Roman"/>
          <w:sz w:val="20"/>
          <w:szCs w:val="20"/>
          <w:lang w:val="hr-HR"/>
        </w:rPr>
        <w:t>.</w:t>
      </w:r>
    </w:p>
    <w:p w14:paraId="373F185A" w14:textId="15BE097E" w:rsidR="00042D5F" w:rsidRPr="0086186A" w:rsidRDefault="00933CBF" w:rsidP="00042D5F">
      <w:pPr>
        <w:pStyle w:val="BodyText"/>
        <w:numPr>
          <w:ilvl w:val="0"/>
          <w:numId w:val="35"/>
        </w:numPr>
        <w:ind w:left="567"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Postupci odabira, ugovaranja i potvrđivanja – za koje su dionici često smatrali da su prespori – bit će ubrzani, s učinkovitom podrškom sustava za praćenje i izvješćivanje.</w:t>
      </w:r>
    </w:p>
    <w:p w14:paraId="367EE052" w14:textId="3C707072" w:rsidR="00933CBF" w:rsidRPr="0086186A" w:rsidRDefault="00933CBF" w:rsidP="00933CBF">
      <w:pPr>
        <w:pStyle w:val="BodyText"/>
        <w:ind w:right="135"/>
        <w:jc w:val="both"/>
        <w:rPr>
          <w:rFonts w:ascii="Times New Roman" w:hAnsi="Times New Roman" w:cs="Times New Roman"/>
          <w:sz w:val="20"/>
          <w:szCs w:val="20"/>
          <w:lang w:val="hr-HR"/>
        </w:rPr>
      </w:pPr>
    </w:p>
    <w:p w14:paraId="4096AA45" w14:textId="6A4290F6" w:rsidR="00933CBF" w:rsidRPr="0086186A" w:rsidRDefault="00933CBF" w:rsidP="00933CBF">
      <w:pPr>
        <w:pStyle w:val="BodyText"/>
        <w:ind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Stečena iskustva specifična za </w:t>
      </w:r>
      <w:r w:rsidR="003C31E2" w:rsidRPr="0086186A">
        <w:rPr>
          <w:rFonts w:ascii="Times New Roman" w:hAnsi="Times New Roman" w:cs="Times New Roman"/>
          <w:sz w:val="20"/>
          <w:szCs w:val="20"/>
          <w:lang w:val="hr-HR"/>
        </w:rPr>
        <w:t>cilj politike</w:t>
      </w:r>
      <w:r w:rsidRPr="0086186A">
        <w:rPr>
          <w:rFonts w:ascii="Times New Roman" w:hAnsi="Times New Roman" w:cs="Times New Roman"/>
          <w:sz w:val="20"/>
          <w:szCs w:val="20"/>
          <w:lang w:val="hr-HR"/>
        </w:rPr>
        <w:t>:</w:t>
      </w:r>
    </w:p>
    <w:p w14:paraId="6397273A" w14:textId="3DEA79F5" w:rsidR="00933CBF" w:rsidRPr="0086186A" w:rsidRDefault="003C31E2" w:rsidP="00933CBF">
      <w:pPr>
        <w:pStyle w:val="BodyText"/>
        <w:numPr>
          <w:ilvl w:val="0"/>
          <w:numId w:val="36"/>
        </w:numPr>
        <w:ind w:left="567"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Cilj politike 1</w:t>
      </w:r>
      <w:r w:rsidR="00933CBF" w:rsidRPr="0086186A">
        <w:rPr>
          <w:rFonts w:ascii="Times New Roman" w:hAnsi="Times New Roman" w:cs="Times New Roman"/>
          <w:sz w:val="20"/>
          <w:szCs w:val="20"/>
          <w:lang w:val="hr-HR"/>
        </w:rPr>
        <w:t xml:space="preserve"> (razvoj malog i srednjeg poduzetništva)</w:t>
      </w:r>
    </w:p>
    <w:p w14:paraId="0472B115" w14:textId="7C77982A" w:rsidR="00933CBF" w:rsidRPr="0086186A" w:rsidRDefault="00933CBF" w:rsidP="00933CBF">
      <w:pPr>
        <w:pStyle w:val="BodyText"/>
        <w:numPr>
          <w:ilvl w:val="1"/>
          <w:numId w:val="36"/>
        </w:numPr>
        <w:ind w:left="851"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Mala i srednja poduzeća nemaju dovoljno iskustva s financiranjem iz fondova EU-a i relativno su daleko od komunikacijskih linija razvojnih instrumenata, stoga se savjetuju izravni postupci (strateški projekt, mali projektni fond itd.) kako bi se osigurali izravan i prilagođen tok informacija, stvaranje projekta i podrška u provedbi. Mogu se primijeniti i </w:t>
      </w:r>
      <w:r w:rsidR="002A15B5" w:rsidRPr="0086186A">
        <w:rPr>
          <w:rFonts w:ascii="Times New Roman" w:hAnsi="Times New Roman" w:cs="Times New Roman"/>
          <w:sz w:val="20"/>
          <w:szCs w:val="20"/>
          <w:lang w:val="hr-HR"/>
        </w:rPr>
        <w:t>fleksibilnija rješenja (mogućnost angažiranja vanjskog stručnog znanja za razvoj projekta ili upravljanje projektom), a procese bi općenito trebalo ubrzati.</w:t>
      </w:r>
    </w:p>
    <w:p w14:paraId="1315712E" w14:textId="39BA9A30" w:rsidR="002A15B5" w:rsidRPr="0086186A" w:rsidRDefault="002A15B5" w:rsidP="00933CBF">
      <w:pPr>
        <w:pStyle w:val="BodyText"/>
        <w:numPr>
          <w:ilvl w:val="1"/>
          <w:numId w:val="36"/>
        </w:numPr>
        <w:ind w:left="851"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Općenito govoreći, kapaciteti i fokus malih i srednjih poduzeća u programskom razdoblju od 2014. do 2020. bilo je usmjereno na prilično temeljnu poslovnu suradnju umjesto na inovacijske aspekte zajedničkih projekata.</w:t>
      </w:r>
    </w:p>
    <w:p w14:paraId="46B9FFAD" w14:textId="7FA4B50D" w:rsidR="002A15B5" w:rsidRPr="0086186A" w:rsidRDefault="002A15B5" w:rsidP="00933CBF">
      <w:pPr>
        <w:pStyle w:val="BodyText"/>
        <w:numPr>
          <w:ilvl w:val="1"/>
          <w:numId w:val="36"/>
        </w:numPr>
        <w:ind w:left="851"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Projekti s većim potencijalnom umnažanja značajno bi povećali utjecaj na lokalno gospodarstvo.</w:t>
      </w:r>
    </w:p>
    <w:p w14:paraId="6CC2A4F0" w14:textId="75E8878E" w:rsidR="002A15B5" w:rsidRPr="0086186A" w:rsidRDefault="002A15B5" w:rsidP="00933CBF">
      <w:pPr>
        <w:pStyle w:val="BodyText"/>
        <w:numPr>
          <w:ilvl w:val="1"/>
          <w:numId w:val="36"/>
        </w:numPr>
        <w:ind w:left="851"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Dominantni položaj velikih gospodarskih centara trebalo bi uravnotežiti ciljanom motivacijom malih i srednjih poduzeća koji se nalaze izvan tih mjesta.</w:t>
      </w:r>
    </w:p>
    <w:p w14:paraId="74A550B0" w14:textId="7D305BA9" w:rsidR="002A15B5" w:rsidRPr="0086186A" w:rsidRDefault="003C31E2" w:rsidP="002A15B5">
      <w:pPr>
        <w:pStyle w:val="BodyText"/>
        <w:numPr>
          <w:ilvl w:val="0"/>
          <w:numId w:val="36"/>
        </w:numPr>
        <w:ind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Cilj politike 2</w:t>
      </w:r>
      <w:r w:rsidR="002A15B5" w:rsidRPr="0086186A">
        <w:rPr>
          <w:rFonts w:ascii="Times New Roman" w:hAnsi="Times New Roman" w:cs="Times New Roman"/>
          <w:sz w:val="20"/>
          <w:szCs w:val="20"/>
          <w:lang w:val="hr-HR"/>
        </w:rPr>
        <w:t xml:space="preserve"> (energetska učinkovitost)</w:t>
      </w:r>
    </w:p>
    <w:p w14:paraId="7823D3CD" w14:textId="2819050A" w:rsidR="002A15B5" w:rsidRPr="0086186A" w:rsidRDefault="00360CA7" w:rsidP="002A15B5">
      <w:pPr>
        <w:pStyle w:val="BodyText"/>
        <w:numPr>
          <w:ilvl w:val="1"/>
          <w:numId w:val="36"/>
        </w:numPr>
        <w:ind w:left="851"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Od 2014. do 2020. podnositelji prijedloga pokazali su velik interes prema energetskim projektima, iako program nije uključivao zasebnu energetsku temu. Zbog toga bi energetika trebala imati </w:t>
      </w:r>
      <w:proofErr w:type="spellStart"/>
      <w:r w:rsidRPr="0086186A">
        <w:rPr>
          <w:rFonts w:ascii="Times New Roman" w:hAnsi="Times New Roman" w:cs="Times New Roman"/>
          <w:sz w:val="20"/>
          <w:szCs w:val="20"/>
          <w:lang w:val="hr-HR"/>
        </w:rPr>
        <w:t>definiraniju</w:t>
      </w:r>
      <w:proofErr w:type="spellEnd"/>
      <w:r w:rsidRPr="0086186A">
        <w:rPr>
          <w:rFonts w:ascii="Times New Roman" w:hAnsi="Times New Roman" w:cs="Times New Roman"/>
          <w:sz w:val="20"/>
          <w:szCs w:val="20"/>
          <w:lang w:val="hr-HR"/>
        </w:rPr>
        <w:t xml:space="preserve"> prisutnost u razdoblju od 2021. do 2027.</w:t>
      </w:r>
    </w:p>
    <w:p w14:paraId="62E31FAE" w14:textId="02FE89E3" w:rsidR="00360CA7" w:rsidRPr="0086186A" w:rsidRDefault="00360CA7" w:rsidP="002A15B5">
      <w:pPr>
        <w:pStyle w:val="BodyText"/>
        <w:numPr>
          <w:ilvl w:val="1"/>
          <w:numId w:val="36"/>
        </w:numPr>
        <w:ind w:left="851"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Teme potencijalno zanimljive podnositeljima prijedloga uključuju energetsko siromaštvo, održivo energetsko planiranje javnih institucija, obnovljive izvore energije, energetske inicijative u zajednicama, e-mobilnost, rješenja pametnih gradova.</w:t>
      </w:r>
    </w:p>
    <w:p w14:paraId="79FC760B" w14:textId="5664A36D" w:rsidR="00C93FBA" w:rsidRPr="0086186A" w:rsidRDefault="003C31E2" w:rsidP="00C93FBA">
      <w:pPr>
        <w:pStyle w:val="BodyText"/>
        <w:numPr>
          <w:ilvl w:val="0"/>
          <w:numId w:val="36"/>
        </w:numPr>
        <w:ind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Cilj politike 2</w:t>
      </w:r>
      <w:r w:rsidR="00C93FBA" w:rsidRPr="0086186A">
        <w:rPr>
          <w:rFonts w:ascii="Times New Roman" w:hAnsi="Times New Roman" w:cs="Times New Roman"/>
          <w:sz w:val="20"/>
          <w:szCs w:val="20"/>
          <w:lang w:val="hr-HR"/>
        </w:rPr>
        <w:t xml:space="preserve"> (prilagodba klimatskim promjenama)</w:t>
      </w:r>
    </w:p>
    <w:p w14:paraId="1A666071" w14:textId="585391DC" w:rsidR="00C93FBA" w:rsidRPr="0086186A" w:rsidRDefault="00C93FBA" w:rsidP="00C93FBA">
      <w:pPr>
        <w:pStyle w:val="BodyText"/>
        <w:numPr>
          <w:ilvl w:val="1"/>
          <w:numId w:val="36"/>
        </w:numPr>
        <w:ind w:left="851"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Kako bi se ostvarile vidljivije promjene u okolini i ublažavanju klimatskih promjena, usklađivanje zaštite prirode, regionalni razvoj i poslovni interesi mogli bi se dodatno podržati, a trebalo bi razmotriti i financiranje nekoliko velikih projekata.</w:t>
      </w:r>
    </w:p>
    <w:p w14:paraId="190F87AE" w14:textId="7E0828B4" w:rsidR="00C93FBA" w:rsidRPr="0086186A" w:rsidRDefault="003C31E2" w:rsidP="00C93FBA">
      <w:pPr>
        <w:pStyle w:val="BodyText"/>
        <w:numPr>
          <w:ilvl w:val="0"/>
          <w:numId w:val="36"/>
        </w:numPr>
        <w:ind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Cilj politike 4</w:t>
      </w:r>
      <w:r w:rsidR="00C93FBA" w:rsidRPr="0086186A">
        <w:rPr>
          <w:rFonts w:ascii="Times New Roman" w:hAnsi="Times New Roman" w:cs="Times New Roman"/>
          <w:sz w:val="20"/>
          <w:szCs w:val="20"/>
          <w:lang w:val="hr-HR"/>
        </w:rPr>
        <w:t xml:space="preserve"> (kultura i turizam)</w:t>
      </w:r>
    </w:p>
    <w:p w14:paraId="652CA929" w14:textId="604FC997" w:rsidR="00C93FBA" w:rsidRPr="0086186A" w:rsidRDefault="00C93FBA" w:rsidP="00C93FBA">
      <w:pPr>
        <w:pStyle w:val="BodyText"/>
        <w:numPr>
          <w:ilvl w:val="1"/>
          <w:numId w:val="36"/>
        </w:numPr>
        <w:ind w:left="851"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Posebna je vrijednost programa teritorijalni fokus resursa u turizmu na pojas od 40 + 40 km duž tri granične rijeke u regiji.</w:t>
      </w:r>
    </w:p>
    <w:p w14:paraId="6FF59845" w14:textId="64692FED" w:rsidR="00C93FBA" w:rsidRPr="0086186A" w:rsidRDefault="00C93FBA" w:rsidP="00C93FBA">
      <w:pPr>
        <w:pStyle w:val="BodyText"/>
        <w:numPr>
          <w:ilvl w:val="1"/>
          <w:numId w:val="36"/>
        </w:numPr>
        <w:ind w:left="851"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Turistički projekti imaju tendenciju uključivanja zrcalnih aktivnosti, bez stvarnih zajedničkih aktivnosti, što je fenomen koji bi trebalo riješiti ciljanim kriterijima za odabir.</w:t>
      </w:r>
    </w:p>
    <w:p w14:paraId="326092F5" w14:textId="495328F8" w:rsidR="00C93FBA" w:rsidRPr="0086186A" w:rsidRDefault="00196877" w:rsidP="00C93FBA">
      <w:pPr>
        <w:pStyle w:val="BodyText"/>
        <w:numPr>
          <w:ilvl w:val="1"/>
          <w:numId w:val="36"/>
        </w:numPr>
        <w:ind w:left="851"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Budući da turistički projekti mogu potencijalno pojačati ljudsko ometanje ranjivih prirodnih područja, kriteriji za odabir trebali bi davati prednost ekološki svjesnim i održivim rješenjima.</w:t>
      </w:r>
    </w:p>
    <w:p w14:paraId="1657912E" w14:textId="21DB965F" w:rsidR="00196877" w:rsidRPr="0086186A" w:rsidRDefault="00196877" w:rsidP="00C93FBA">
      <w:pPr>
        <w:pStyle w:val="BodyText"/>
        <w:numPr>
          <w:ilvl w:val="1"/>
          <w:numId w:val="36"/>
        </w:numPr>
        <w:ind w:left="851"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Posebnu pozornost trebalo bi posvetiti interesima i bihevioralnim obrascima post-</w:t>
      </w:r>
      <w:proofErr w:type="spellStart"/>
      <w:r w:rsidRPr="0086186A">
        <w:rPr>
          <w:rFonts w:ascii="Times New Roman" w:hAnsi="Times New Roman" w:cs="Times New Roman"/>
          <w:sz w:val="20"/>
          <w:szCs w:val="20"/>
          <w:lang w:val="hr-HR"/>
        </w:rPr>
        <w:t>COVID</w:t>
      </w:r>
      <w:proofErr w:type="spellEnd"/>
      <w:r w:rsidRPr="0086186A">
        <w:rPr>
          <w:rFonts w:ascii="Times New Roman" w:hAnsi="Times New Roman" w:cs="Times New Roman"/>
          <w:sz w:val="20"/>
          <w:szCs w:val="20"/>
          <w:lang w:val="hr-HR"/>
        </w:rPr>
        <w:t xml:space="preserve"> turista, s </w:t>
      </w:r>
      <w:r w:rsidRPr="0086186A">
        <w:rPr>
          <w:rFonts w:ascii="Times New Roman" w:hAnsi="Times New Roman" w:cs="Times New Roman"/>
          <w:sz w:val="20"/>
          <w:szCs w:val="20"/>
          <w:lang w:val="hr-HR"/>
        </w:rPr>
        <w:lastRenderedPageBreak/>
        <w:t>posebnim fokusom na aktivnosti koje se izvode na otvorenom i koje su prihvatljive za okoliš.</w:t>
      </w:r>
    </w:p>
    <w:p w14:paraId="00247AF4" w14:textId="75D33119" w:rsidR="00196877" w:rsidRPr="0086186A" w:rsidRDefault="003C31E2" w:rsidP="00196877">
      <w:pPr>
        <w:pStyle w:val="BodyText"/>
        <w:numPr>
          <w:ilvl w:val="0"/>
          <w:numId w:val="36"/>
        </w:numPr>
        <w:ind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Cilj politike 4</w:t>
      </w:r>
      <w:r w:rsidR="00196877" w:rsidRPr="0086186A">
        <w:rPr>
          <w:rFonts w:ascii="Times New Roman" w:hAnsi="Times New Roman" w:cs="Times New Roman"/>
          <w:sz w:val="20"/>
          <w:szCs w:val="20"/>
          <w:lang w:val="hr-HR"/>
        </w:rPr>
        <w:t xml:space="preserve"> (obrazovanje i osposobljavanje)</w:t>
      </w:r>
    </w:p>
    <w:p w14:paraId="37F81B49" w14:textId="6B0AE378" w:rsidR="00196877" w:rsidRPr="0086186A" w:rsidRDefault="00196877" w:rsidP="00196877">
      <w:pPr>
        <w:pStyle w:val="BodyText"/>
        <w:numPr>
          <w:ilvl w:val="1"/>
          <w:numId w:val="36"/>
        </w:numPr>
        <w:ind w:left="851"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Trebalo bi podržati više obrazovnih profila orijentiranih na tržište i vještine brže prilagodbe, kao i motiviranje suradnje između obrazovnih ustanova te malih i srednjih poduzeća.</w:t>
      </w:r>
    </w:p>
    <w:p w14:paraId="1BC5707A" w14:textId="0085D48A" w:rsidR="00196877" w:rsidRPr="0086186A" w:rsidRDefault="00196877" w:rsidP="00196877">
      <w:pPr>
        <w:pStyle w:val="BodyText"/>
        <w:numPr>
          <w:ilvl w:val="0"/>
          <w:numId w:val="36"/>
        </w:numPr>
        <w:ind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ISO1 (upravljanje i suradnja)</w:t>
      </w:r>
    </w:p>
    <w:p w14:paraId="29376742" w14:textId="3A76F873" w:rsidR="00196877" w:rsidRPr="0086186A" w:rsidRDefault="00196877" w:rsidP="00196877">
      <w:pPr>
        <w:pStyle w:val="BodyText"/>
        <w:numPr>
          <w:ilvl w:val="1"/>
          <w:numId w:val="36"/>
        </w:numPr>
        <w:ind w:left="851"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Uklanjanje faktora koji priječe prekograničnu suradnju i dalje je jasno navedeno očekivanje dionika iz programskog područja.</w:t>
      </w:r>
    </w:p>
    <w:p w14:paraId="01263184" w14:textId="356B36A4" w:rsidR="00196877" w:rsidRPr="0086186A" w:rsidRDefault="00196877" w:rsidP="00196877">
      <w:pPr>
        <w:pStyle w:val="BodyText"/>
        <w:numPr>
          <w:ilvl w:val="1"/>
          <w:numId w:val="36"/>
        </w:numPr>
        <w:ind w:left="851"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Potrebni su daljnji napori u socijalnom uključivanju manjina, jačanje suradnje među institucijama u vezi s upravljanjem, kao i ciljanje socijalnih skupina, gdje se podrška praktički ostvaruje u umnoženim, dugoročnim koristima (kao što je mlado stanovništvo u području).</w:t>
      </w:r>
    </w:p>
    <w:p w14:paraId="36D87C8B" w14:textId="2A2EB94A" w:rsidR="00196877" w:rsidRPr="0086186A" w:rsidRDefault="00196877" w:rsidP="00196877">
      <w:pPr>
        <w:pStyle w:val="BodyText"/>
        <w:ind w:right="135"/>
        <w:jc w:val="both"/>
        <w:rPr>
          <w:rFonts w:ascii="Times New Roman" w:hAnsi="Times New Roman" w:cs="Times New Roman"/>
          <w:sz w:val="20"/>
          <w:szCs w:val="20"/>
          <w:lang w:val="hr-HR"/>
        </w:rPr>
      </w:pPr>
    </w:p>
    <w:p w14:paraId="5D8708B9" w14:textId="5B8D6228" w:rsidR="00196877" w:rsidRPr="0086186A" w:rsidRDefault="00196877" w:rsidP="00196877">
      <w:pPr>
        <w:pStyle w:val="BodyText"/>
        <w:ind w:right="135"/>
        <w:jc w:val="both"/>
        <w:rPr>
          <w:rFonts w:ascii="Times New Roman" w:hAnsi="Times New Roman" w:cs="Times New Roman"/>
          <w:b/>
          <w:bCs/>
          <w:sz w:val="20"/>
          <w:szCs w:val="20"/>
          <w:lang w:val="hr-HR"/>
        </w:rPr>
      </w:pPr>
      <w:r w:rsidRPr="0086186A">
        <w:rPr>
          <w:rFonts w:ascii="Times New Roman" w:hAnsi="Times New Roman" w:cs="Times New Roman"/>
          <w:b/>
          <w:bCs/>
          <w:sz w:val="20"/>
          <w:szCs w:val="20"/>
          <w:lang w:val="hr-HR"/>
        </w:rPr>
        <w:t>Horizontalna načela</w:t>
      </w:r>
    </w:p>
    <w:p w14:paraId="59FB6E3F" w14:textId="1DC15F4D" w:rsidR="00196877" w:rsidRPr="0086186A" w:rsidRDefault="00196877" w:rsidP="00196877">
      <w:pPr>
        <w:pStyle w:val="BodyText"/>
        <w:ind w:right="135"/>
        <w:jc w:val="both"/>
        <w:rPr>
          <w:rFonts w:ascii="Times New Roman" w:hAnsi="Times New Roman" w:cs="Times New Roman"/>
          <w:sz w:val="20"/>
          <w:szCs w:val="20"/>
          <w:lang w:val="hr-HR"/>
        </w:rPr>
      </w:pPr>
    </w:p>
    <w:p w14:paraId="1E71BC7B" w14:textId="373B96DD" w:rsidR="00196877" w:rsidRPr="0086186A" w:rsidRDefault="00C654B8" w:rsidP="00196877">
      <w:pPr>
        <w:pStyle w:val="BodyText"/>
        <w:ind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Sve aktivnosti unutar programa poštuju horizontalna načela temeljnih prava, rodne ravnopravnosti, jednakih šansi, nediskriminacije i promicanja održivog razvoja, UN-ovih ciljeva održivog razvoja tijekom pripreme, provedbe i naknadnog praćenja projekta. Horizontalna načela obvezna su i bit će predmet procjene. Podnositelji prijedloga potiču se da pripreme projekte kojima se predviđaju specifične aktivnosti s ciljem unapređenja i promicanja vrijednosti horizontalnih načela.</w:t>
      </w:r>
    </w:p>
    <w:p w14:paraId="04176485" w14:textId="1077F9B1" w:rsidR="00C654B8" w:rsidRPr="0086186A" w:rsidRDefault="00C654B8" w:rsidP="00196877">
      <w:pPr>
        <w:pStyle w:val="BodyText"/>
        <w:ind w:right="135"/>
        <w:jc w:val="both"/>
        <w:rPr>
          <w:rFonts w:ascii="Times New Roman" w:hAnsi="Times New Roman" w:cs="Times New Roman"/>
          <w:sz w:val="20"/>
          <w:szCs w:val="20"/>
          <w:lang w:val="hr-HR"/>
        </w:rPr>
      </w:pPr>
    </w:p>
    <w:p w14:paraId="65B2B7B1" w14:textId="0580C8F4" w:rsidR="00C654B8" w:rsidRPr="0086186A" w:rsidRDefault="00C654B8" w:rsidP="00196877">
      <w:pPr>
        <w:pStyle w:val="BodyText"/>
        <w:ind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Nadalje, u skladu s člankom 9. stavkom 4. i uvodnom rečenicom Uredbe o zajedničkim odredbama, sve vrste aktivnosti definirane u poglavlju 2. </w:t>
      </w:r>
      <w:r w:rsidRPr="0086186A">
        <w:rPr>
          <w:rFonts w:ascii="Times New Roman" w:hAnsi="Times New Roman" w:cs="Times New Roman"/>
          <w:i/>
          <w:iCs/>
          <w:sz w:val="20"/>
          <w:szCs w:val="20"/>
          <w:lang w:val="hr-HR"/>
        </w:rPr>
        <w:t>bit će zasebno procijenjene, a rezultat je da jesu/nisu kompatibilne</w:t>
      </w:r>
      <w:r w:rsidRPr="0086186A">
        <w:rPr>
          <w:rFonts w:ascii="Times New Roman" w:hAnsi="Times New Roman" w:cs="Times New Roman"/>
          <w:sz w:val="20"/>
          <w:szCs w:val="20"/>
          <w:lang w:val="hr-HR"/>
        </w:rPr>
        <w:t xml:space="preserve"> s načelom </w:t>
      </w:r>
      <w:proofErr w:type="spellStart"/>
      <w:r w:rsidRPr="0086186A">
        <w:rPr>
          <w:rFonts w:ascii="Times New Roman" w:hAnsi="Times New Roman" w:cs="Times New Roman"/>
          <w:sz w:val="20"/>
          <w:szCs w:val="20"/>
          <w:lang w:val="hr-HR"/>
        </w:rPr>
        <w:t>nenanošenja</w:t>
      </w:r>
      <w:proofErr w:type="spellEnd"/>
      <w:r w:rsidRPr="0086186A">
        <w:rPr>
          <w:rFonts w:ascii="Times New Roman" w:hAnsi="Times New Roman" w:cs="Times New Roman"/>
          <w:sz w:val="20"/>
          <w:szCs w:val="20"/>
          <w:lang w:val="hr-HR"/>
        </w:rPr>
        <w:t xml:space="preserve"> bitne štete.</w:t>
      </w:r>
      <w:r w:rsidR="00AA4661" w:rsidRPr="0086186A">
        <w:rPr>
          <w:rFonts w:ascii="Times New Roman" w:hAnsi="Times New Roman" w:cs="Times New Roman"/>
          <w:sz w:val="20"/>
          <w:szCs w:val="20"/>
          <w:lang w:val="hr-HR"/>
        </w:rPr>
        <w:t xml:space="preserve"> Što se tiče podrške klimatskim ciljevima, plan programa je doseći 33%, a što se tiče ciljeva biološke raznolikosti, plan programa je doseći 42%, kako je navedeno u oznakama dimenzija s njihovim stopama </w:t>
      </w:r>
      <w:proofErr w:type="spellStart"/>
      <w:r w:rsidR="00AA4661" w:rsidRPr="0086186A">
        <w:rPr>
          <w:rFonts w:ascii="Times New Roman" w:hAnsi="Times New Roman" w:cs="Times New Roman"/>
          <w:sz w:val="20"/>
          <w:szCs w:val="20"/>
          <w:lang w:val="hr-HR"/>
        </w:rPr>
        <w:t>sudjelotvornosti</w:t>
      </w:r>
      <w:proofErr w:type="spellEnd"/>
      <w:r w:rsidR="00AA4661" w:rsidRPr="0086186A">
        <w:rPr>
          <w:rFonts w:ascii="Times New Roman" w:hAnsi="Times New Roman" w:cs="Times New Roman"/>
          <w:sz w:val="20"/>
          <w:szCs w:val="20"/>
          <w:lang w:val="hr-HR"/>
        </w:rPr>
        <w:t>.</w:t>
      </w:r>
    </w:p>
    <w:p w14:paraId="38A9E8D2" w14:textId="69559242" w:rsidR="00AA4661" w:rsidRPr="0086186A" w:rsidRDefault="00AA4661" w:rsidP="00196877">
      <w:pPr>
        <w:pStyle w:val="BodyText"/>
        <w:ind w:right="135"/>
        <w:jc w:val="both"/>
        <w:rPr>
          <w:rFonts w:ascii="Times New Roman" w:hAnsi="Times New Roman" w:cs="Times New Roman"/>
          <w:sz w:val="20"/>
          <w:szCs w:val="20"/>
          <w:lang w:val="hr-HR"/>
        </w:rPr>
      </w:pPr>
    </w:p>
    <w:p w14:paraId="12D8E33E" w14:textId="2AF5D1A8" w:rsidR="00AA4661" w:rsidRPr="0086186A" w:rsidRDefault="00AA4661" w:rsidP="00196877">
      <w:pPr>
        <w:pStyle w:val="BodyText"/>
        <w:ind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Strateška procjena okoliša </w:t>
      </w:r>
      <w:r w:rsidRPr="0086186A">
        <w:rPr>
          <w:rFonts w:ascii="Times New Roman" w:hAnsi="Times New Roman" w:cs="Times New Roman"/>
          <w:i/>
          <w:iCs/>
          <w:sz w:val="20"/>
          <w:szCs w:val="20"/>
          <w:lang w:val="hr-HR"/>
        </w:rPr>
        <w:t>bit će provedena</w:t>
      </w:r>
      <w:r w:rsidRPr="0086186A">
        <w:rPr>
          <w:rFonts w:ascii="Times New Roman" w:hAnsi="Times New Roman" w:cs="Times New Roman"/>
          <w:sz w:val="20"/>
          <w:szCs w:val="20"/>
          <w:lang w:val="hr-HR"/>
        </w:rPr>
        <w:t xml:space="preserve"> u obje države na nacionalnom jeziku u skladu sa zakonodavstvom, a izvješće i prilozi priloženi su Programu.</w:t>
      </w:r>
    </w:p>
    <w:p w14:paraId="54C2E4D6" w14:textId="53D1C307" w:rsidR="00AA4661" w:rsidRPr="0086186A" w:rsidRDefault="00AA4661" w:rsidP="00196877">
      <w:pPr>
        <w:pStyle w:val="BodyText"/>
        <w:ind w:right="135"/>
        <w:jc w:val="both"/>
        <w:rPr>
          <w:rFonts w:ascii="Times New Roman" w:hAnsi="Times New Roman" w:cs="Times New Roman"/>
          <w:sz w:val="20"/>
          <w:szCs w:val="20"/>
          <w:lang w:val="hr-HR"/>
        </w:rPr>
      </w:pPr>
    </w:p>
    <w:p w14:paraId="3133C2DA" w14:textId="444136E1" w:rsidR="00AA4661" w:rsidRPr="0086186A" w:rsidRDefault="00AA4661" w:rsidP="00196877">
      <w:pPr>
        <w:pStyle w:val="BodyText"/>
        <w:ind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Tijekom provedbe Programa </w:t>
      </w:r>
      <w:r w:rsidR="002717CC" w:rsidRPr="0086186A">
        <w:rPr>
          <w:rFonts w:ascii="Times New Roman" w:hAnsi="Times New Roman" w:cs="Times New Roman"/>
          <w:sz w:val="20"/>
          <w:szCs w:val="20"/>
          <w:lang w:val="hr-HR"/>
        </w:rPr>
        <w:t>upravljačko tijelo</w:t>
      </w:r>
      <w:r w:rsidRPr="0086186A">
        <w:rPr>
          <w:rFonts w:ascii="Times New Roman" w:hAnsi="Times New Roman" w:cs="Times New Roman"/>
          <w:sz w:val="20"/>
          <w:szCs w:val="20"/>
          <w:lang w:val="hr-HR"/>
        </w:rPr>
        <w:t xml:space="preserve"> će promicati stratešku uporabu javne nabave za podršku </w:t>
      </w:r>
      <w:r w:rsidR="003C31E2" w:rsidRPr="0086186A">
        <w:rPr>
          <w:rFonts w:ascii="Times New Roman" w:hAnsi="Times New Roman" w:cs="Times New Roman"/>
          <w:sz w:val="20"/>
          <w:szCs w:val="20"/>
          <w:lang w:val="hr-HR"/>
        </w:rPr>
        <w:t>ciljevima politike</w:t>
      </w:r>
      <w:r w:rsidRPr="0086186A">
        <w:rPr>
          <w:rFonts w:ascii="Times New Roman" w:hAnsi="Times New Roman" w:cs="Times New Roman"/>
          <w:sz w:val="20"/>
          <w:szCs w:val="20"/>
          <w:lang w:val="hr-HR"/>
        </w:rPr>
        <w:t xml:space="preserve">. Korisnike bi trebalo potaknuti da </w:t>
      </w:r>
      <w:r w:rsidR="00FD771E" w:rsidRPr="0086186A">
        <w:rPr>
          <w:rFonts w:ascii="Times New Roman" w:hAnsi="Times New Roman" w:cs="Times New Roman"/>
          <w:sz w:val="20"/>
          <w:szCs w:val="20"/>
          <w:lang w:val="hr-HR"/>
        </w:rPr>
        <w:t>upotrebljavaju troškovne kriterije kojima se više uzimaju u obzir kvaliteta i životni ciklus. Kad god je to izvedivo, ekološka i socijalna razmatranja također bi trebalo uključiti u postupke.</w:t>
      </w:r>
    </w:p>
    <w:p w14:paraId="2951AB55" w14:textId="3D26B4AB" w:rsidR="00FD771E" w:rsidRPr="0086186A" w:rsidRDefault="00FD771E" w:rsidP="00196877">
      <w:pPr>
        <w:pStyle w:val="BodyText"/>
        <w:ind w:right="135"/>
        <w:jc w:val="both"/>
        <w:rPr>
          <w:rFonts w:ascii="Times New Roman" w:hAnsi="Times New Roman" w:cs="Times New Roman"/>
          <w:sz w:val="20"/>
          <w:szCs w:val="20"/>
          <w:lang w:val="hr-HR"/>
        </w:rPr>
      </w:pPr>
    </w:p>
    <w:p w14:paraId="10EDE754" w14:textId="64CCDD9F" w:rsidR="00FD771E" w:rsidRPr="0086186A" w:rsidRDefault="00FD771E" w:rsidP="00196877">
      <w:pPr>
        <w:pStyle w:val="BodyText"/>
        <w:ind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Programom će se također razmatrati promicanje inicijative Novog europskog Bauhausa, a </w:t>
      </w:r>
      <w:r w:rsidR="002717CC" w:rsidRPr="0086186A">
        <w:rPr>
          <w:rFonts w:ascii="Times New Roman" w:hAnsi="Times New Roman" w:cs="Times New Roman"/>
          <w:sz w:val="20"/>
          <w:szCs w:val="20"/>
          <w:lang w:val="hr-HR"/>
        </w:rPr>
        <w:t xml:space="preserve">upravljačko tijelo </w:t>
      </w:r>
      <w:r w:rsidRPr="0086186A">
        <w:rPr>
          <w:rFonts w:ascii="Times New Roman" w:hAnsi="Times New Roman" w:cs="Times New Roman"/>
          <w:sz w:val="20"/>
          <w:szCs w:val="20"/>
          <w:lang w:val="hr-HR"/>
        </w:rPr>
        <w:t>/</w:t>
      </w:r>
      <w:r w:rsidR="002717CC" w:rsidRPr="0086186A">
        <w:rPr>
          <w:rFonts w:ascii="Times New Roman" w:hAnsi="Times New Roman" w:cs="Times New Roman"/>
          <w:sz w:val="20"/>
          <w:szCs w:val="20"/>
          <w:lang w:val="hr-HR"/>
        </w:rPr>
        <w:t xml:space="preserve"> zajedničko tajništvo</w:t>
      </w:r>
      <w:r w:rsidRPr="0086186A">
        <w:rPr>
          <w:rFonts w:ascii="Times New Roman" w:hAnsi="Times New Roman" w:cs="Times New Roman"/>
          <w:sz w:val="20"/>
          <w:szCs w:val="20"/>
          <w:lang w:val="hr-HR"/>
        </w:rPr>
        <w:t xml:space="preserve"> će o tome obavješćivati MC i </w:t>
      </w:r>
      <w:r w:rsidR="00F84498" w:rsidRPr="0086186A">
        <w:rPr>
          <w:rFonts w:ascii="Times New Roman" w:hAnsi="Times New Roman" w:cs="Times New Roman"/>
          <w:sz w:val="20"/>
          <w:szCs w:val="20"/>
          <w:lang w:val="hr-HR"/>
        </w:rPr>
        <w:t>omogućavati</w:t>
      </w:r>
      <w:r w:rsidRPr="0086186A">
        <w:rPr>
          <w:rFonts w:ascii="Times New Roman" w:hAnsi="Times New Roman" w:cs="Times New Roman"/>
          <w:sz w:val="20"/>
          <w:szCs w:val="20"/>
          <w:lang w:val="hr-HR"/>
        </w:rPr>
        <w:t xml:space="preserve"> prilike za prilagodbu tijekom provedbe.</w:t>
      </w:r>
    </w:p>
    <w:p w14:paraId="37335C35" w14:textId="486520B0" w:rsidR="00FD771E" w:rsidRPr="0086186A" w:rsidRDefault="00FD771E" w:rsidP="00196877">
      <w:pPr>
        <w:pStyle w:val="BodyText"/>
        <w:ind w:right="135"/>
        <w:jc w:val="both"/>
        <w:rPr>
          <w:rFonts w:ascii="Times New Roman" w:hAnsi="Times New Roman" w:cs="Times New Roman"/>
          <w:sz w:val="20"/>
          <w:szCs w:val="20"/>
          <w:lang w:val="hr-HR"/>
        </w:rPr>
      </w:pPr>
    </w:p>
    <w:p w14:paraId="6AA3EC0F" w14:textId="4FE20CB7" w:rsidR="00FD771E" w:rsidRPr="0086186A" w:rsidRDefault="00FD771E" w:rsidP="00196877">
      <w:pPr>
        <w:pStyle w:val="BodyText"/>
        <w:ind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Programom će se poštovati Povelja temeljnih prava EU-a, rodna jednakost, nediskriminacija, održivi razvoj i pristupačnost te će se poduzeti prikladni koraci za pripremu, provedbu, praćenje, izvješćivanje i ocjenu programa.</w:t>
      </w:r>
    </w:p>
    <w:p w14:paraId="2E0EAD1C" w14:textId="0413E2D8" w:rsidR="00906DF3" w:rsidRPr="0086186A" w:rsidRDefault="00906DF3" w:rsidP="00196877">
      <w:pPr>
        <w:pStyle w:val="BodyText"/>
        <w:ind w:right="135"/>
        <w:jc w:val="both"/>
        <w:rPr>
          <w:rFonts w:ascii="Times New Roman" w:hAnsi="Times New Roman" w:cs="Times New Roman"/>
          <w:sz w:val="20"/>
          <w:szCs w:val="20"/>
          <w:lang w:val="hr-HR"/>
        </w:rPr>
      </w:pPr>
    </w:p>
    <w:p w14:paraId="09F21984" w14:textId="1D83B3D3" w:rsidR="00906DF3" w:rsidRPr="0086186A" w:rsidRDefault="00906DF3" w:rsidP="00196877">
      <w:pPr>
        <w:pStyle w:val="BodyText"/>
        <w:ind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Za Mađarsku i Hrvatsku, „Izvješće o državi za 2019.“ je važan dokument za razmatranje prilikom izrade planova i razvoja. S obzirom na klimatske promjene, Mađarska bi trebala pojačati prekograničnu suradnju kako bi identificirala najprikladnije mjere prilagodbe, sprečavanja rizika i upravljanja rizikom, uključujući dijeljenje najboljih praksi i razvoj usklađenih podatkovnih sustava. Ekološka provedba još uvijek je izazov u Mađarskoj. Potreba za zaštitom vodnih resursa ostaje visoka. Na sličan način, razvoj gospodarenja otpadom i vodama važna je u Hrvatskoj, gdje bi unaprijeđeno gospodarenje otpadom podržalo i prijelaz na kružno gospodarstvo. Prema Izvješću o državi, dok Hrvatska ima dobar rezultat s obzirom na proizvodnju električne energije iz obnovljivih izvora, još uvijek postoji znatan neiskorišten potencijal, posebno u vidu energije sunca i vjetra.</w:t>
      </w:r>
    </w:p>
    <w:p w14:paraId="609656A7" w14:textId="02873CEF" w:rsidR="00E20490" w:rsidRPr="0086186A" w:rsidRDefault="00E20490" w:rsidP="00196877">
      <w:pPr>
        <w:pStyle w:val="BodyText"/>
        <w:ind w:right="135"/>
        <w:jc w:val="both"/>
        <w:rPr>
          <w:rFonts w:ascii="Times New Roman" w:hAnsi="Times New Roman" w:cs="Times New Roman"/>
          <w:sz w:val="20"/>
          <w:szCs w:val="20"/>
          <w:lang w:val="hr-HR"/>
        </w:rPr>
      </w:pPr>
    </w:p>
    <w:p w14:paraId="19393E65" w14:textId="2E6ACC09" w:rsidR="00E20490" w:rsidRPr="0086186A" w:rsidRDefault="00E20490" w:rsidP="00196877">
      <w:pPr>
        <w:pStyle w:val="BodyText"/>
        <w:ind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Ciljana ulaganja u zapošljavanje, socijalni sustav, obrazovanje i zdravstvo s obzirom na infrastrukturu u regijama koje zaostaju i za skupine u nepovoljnom položaju bit će ključ za poticanje razvoja u Mađarskoj. Što se tiče obrazovanja, različite vrste aktivnosti bile bi dobrodošle. U slučaju Hrvatske, u Izvješću za državu naglašava se važnost nastavka </w:t>
      </w:r>
      <w:proofErr w:type="spellStart"/>
      <w:r w:rsidRPr="0086186A">
        <w:rPr>
          <w:rFonts w:ascii="Times New Roman" w:hAnsi="Times New Roman" w:cs="Times New Roman"/>
          <w:sz w:val="20"/>
          <w:szCs w:val="20"/>
          <w:lang w:val="hr-HR"/>
        </w:rPr>
        <w:t>kurikularne</w:t>
      </w:r>
      <w:proofErr w:type="spellEnd"/>
      <w:r w:rsidRPr="0086186A">
        <w:rPr>
          <w:rFonts w:ascii="Times New Roman" w:hAnsi="Times New Roman" w:cs="Times New Roman"/>
          <w:sz w:val="20"/>
          <w:szCs w:val="20"/>
          <w:lang w:val="hr-HR"/>
        </w:rPr>
        <w:t xml:space="preserve"> reforme u svim osnovnim i srednjim školama s ciljem rješavanja izazova </w:t>
      </w:r>
      <w:r w:rsidR="00156220" w:rsidRPr="0086186A">
        <w:rPr>
          <w:rFonts w:ascii="Times New Roman" w:hAnsi="Times New Roman" w:cs="Times New Roman"/>
          <w:sz w:val="20"/>
          <w:szCs w:val="20"/>
          <w:lang w:val="hr-HR"/>
        </w:rPr>
        <w:t>kvalitete školskog obrazovanja. Strukovno obrazovanje i osposobljavanje također bi trebalo dalje razvijati, a sudjelovanje u obrazovanju odraslih bi isto tako trebalo pojačati.</w:t>
      </w:r>
    </w:p>
    <w:p w14:paraId="52223389" w14:textId="051FE671" w:rsidR="00156220" w:rsidRPr="0086186A" w:rsidRDefault="00156220" w:rsidP="00196877">
      <w:pPr>
        <w:pStyle w:val="BodyText"/>
        <w:ind w:right="135"/>
        <w:jc w:val="both"/>
        <w:rPr>
          <w:rFonts w:ascii="Times New Roman" w:hAnsi="Times New Roman" w:cs="Times New Roman"/>
          <w:sz w:val="20"/>
          <w:szCs w:val="20"/>
          <w:lang w:val="hr-HR"/>
        </w:rPr>
      </w:pPr>
    </w:p>
    <w:p w14:paraId="33D81E18" w14:textId="3B74BA56" w:rsidR="00156220" w:rsidRPr="0086186A" w:rsidRDefault="00156220" w:rsidP="00196877">
      <w:pPr>
        <w:pStyle w:val="BodyText"/>
        <w:ind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Turizam u Mađarskoj spomenut je s obzirom na neurbana područja za provedbu integriranog  razvoja na temelju endogenih potencijala, dok su hrvatsko gospodarstvo i posebno turizam relativno ovisni o očuvanoj prirodnoj okolini, stoga bi biološku raznolikost i raznolikost krajobraza kao temelje privlačnosti hrvatskog turizma također trebalo poštovati u budućnosti.</w:t>
      </w:r>
    </w:p>
    <w:p w14:paraId="081D3B01" w14:textId="646D4CF5" w:rsidR="00156220" w:rsidRPr="0086186A" w:rsidRDefault="00156220" w:rsidP="00196877">
      <w:pPr>
        <w:pStyle w:val="BodyText"/>
        <w:ind w:right="135"/>
        <w:jc w:val="both"/>
        <w:rPr>
          <w:rFonts w:ascii="Times New Roman" w:hAnsi="Times New Roman" w:cs="Times New Roman"/>
          <w:sz w:val="20"/>
          <w:szCs w:val="20"/>
          <w:lang w:val="hr-HR"/>
        </w:rPr>
      </w:pPr>
    </w:p>
    <w:p w14:paraId="502E4AAA" w14:textId="4BB6E8A0" w:rsidR="00156220" w:rsidRPr="0086186A" w:rsidRDefault="00156220" w:rsidP="00196877">
      <w:pPr>
        <w:pStyle w:val="BodyText"/>
        <w:ind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lastRenderedPageBreak/>
        <w:t>Naposljetku, u Izvješću za državu podržavaju se aktivnosti suradnje i preko granice kako bi se potaknuo integrirani gospodarski, kulturni i ekološki razvoj, uključujuću ruralna i urbana područja.</w:t>
      </w:r>
    </w:p>
    <w:p w14:paraId="430715BF" w14:textId="01DA0F24" w:rsidR="00156220" w:rsidRPr="0086186A" w:rsidRDefault="00156220" w:rsidP="00196877">
      <w:pPr>
        <w:pStyle w:val="BodyText"/>
        <w:ind w:right="135"/>
        <w:jc w:val="both"/>
        <w:rPr>
          <w:rFonts w:ascii="Times New Roman" w:hAnsi="Times New Roman" w:cs="Times New Roman"/>
          <w:sz w:val="20"/>
          <w:szCs w:val="20"/>
          <w:lang w:val="hr-HR"/>
        </w:rPr>
      </w:pPr>
    </w:p>
    <w:p w14:paraId="258387E2" w14:textId="536280C6" w:rsidR="00156220" w:rsidRPr="0086186A" w:rsidRDefault="00156220" w:rsidP="00196877">
      <w:pPr>
        <w:pStyle w:val="BodyText"/>
        <w:ind w:right="135"/>
        <w:jc w:val="both"/>
        <w:rPr>
          <w:rFonts w:ascii="Times New Roman" w:hAnsi="Times New Roman" w:cs="Times New Roman"/>
          <w:b/>
          <w:bCs/>
          <w:sz w:val="20"/>
          <w:szCs w:val="20"/>
          <w:lang w:val="hr-HR"/>
        </w:rPr>
      </w:pPr>
      <w:r w:rsidRPr="0086186A">
        <w:rPr>
          <w:rFonts w:ascii="Times New Roman" w:hAnsi="Times New Roman" w:cs="Times New Roman"/>
          <w:b/>
          <w:bCs/>
          <w:sz w:val="20"/>
          <w:szCs w:val="20"/>
          <w:lang w:val="hr-HR"/>
        </w:rPr>
        <w:t xml:space="preserve">Sinergije s </w:t>
      </w:r>
      <w:proofErr w:type="spellStart"/>
      <w:r w:rsidRPr="0086186A">
        <w:rPr>
          <w:rFonts w:ascii="Times New Roman" w:hAnsi="Times New Roman" w:cs="Times New Roman"/>
          <w:b/>
          <w:bCs/>
          <w:sz w:val="20"/>
          <w:szCs w:val="20"/>
          <w:lang w:val="hr-HR"/>
        </w:rPr>
        <w:t>makroregionalnim</w:t>
      </w:r>
      <w:proofErr w:type="spellEnd"/>
      <w:r w:rsidRPr="0086186A">
        <w:rPr>
          <w:rFonts w:ascii="Times New Roman" w:hAnsi="Times New Roman" w:cs="Times New Roman"/>
          <w:b/>
          <w:bCs/>
          <w:sz w:val="20"/>
          <w:szCs w:val="20"/>
          <w:lang w:val="hr-HR"/>
        </w:rPr>
        <w:t xml:space="preserve"> strategijama</w:t>
      </w:r>
    </w:p>
    <w:p w14:paraId="04F2FF7B" w14:textId="793FB319" w:rsidR="00156220" w:rsidRPr="0086186A" w:rsidRDefault="00156220" w:rsidP="00196877">
      <w:pPr>
        <w:pStyle w:val="BodyText"/>
        <w:ind w:right="135"/>
        <w:jc w:val="both"/>
        <w:rPr>
          <w:rFonts w:ascii="Times New Roman" w:hAnsi="Times New Roman" w:cs="Times New Roman"/>
          <w:sz w:val="20"/>
          <w:szCs w:val="20"/>
          <w:lang w:val="hr-HR"/>
        </w:rPr>
      </w:pPr>
    </w:p>
    <w:p w14:paraId="1BC6C6BD" w14:textId="35AD83FD" w:rsidR="00156220" w:rsidRPr="0086186A" w:rsidRDefault="00156220" w:rsidP="00196877">
      <w:pPr>
        <w:pStyle w:val="BodyText"/>
        <w:ind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Strategija EU-a za dunavsku regiju (</w:t>
      </w:r>
      <w:proofErr w:type="spellStart"/>
      <w:r w:rsidRPr="0086186A">
        <w:rPr>
          <w:rFonts w:ascii="Times New Roman" w:hAnsi="Times New Roman" w:cs="Times New Roman"/>
          <w:sz w:val="20"/>
          <w:szCs w:val="20"/>
          <w:lang w:val="hr-HR"/>
        </w:rPr>
        <w:t>EUSDR</w:t>
      </w:r>
      <w:proofErr w:type="spellEnd"/>
      <w:r w:rsidRPr="0086186A">
        <w:rPr>
          <w:rFonts w:ascii="Times New Roman" w:hAnsi="Times New Roman" w:cs="Times New Roman"/>
          <w:sz w:val="20"/>
          <w:szCs w:val="20"/>
          <w:lang w:val="hr-HR"/>
        </w:rPr>
        <w:t xml:space="preserve">) jedna je od četiri </w:t>
      </w:r>
      <w:proofErr w:type="spellStart"/>
      <w:r w:rsidRPr="0086186A">
        <w:rPr>
          <w:rFonts w:ascii="Times New Roman" w:hAnsi="Times New Roman" w:cs="Times New Roman"/>
          <w:sz w:val="20"/>
          <w:szCs w:val="20"/>
          <w:lang w:val="hr-HR"/>
        </w:rPr>
        <w:t>makroregionalne</w:t>
      </w:r>
      <w:proofErr w:type="spellEnd"/>
      <w:r w:rsidRPr="0086186A">
        <w:rPr>
          <w:rFonts w:ascii="Times New Roman" w:hAnsi="Times New Roman" w:cs="Times New Roman"/>
          <w:sz w:val="20"/>
          <w:szCs w:val="20"/>
          <w:lang w:val="hr-HR"/>
        </w:rPr>
        <w:t xml:space="preserve"> strategije koja za cilj ima Europsku </w:t>
      </w:r>
      <w:r w:rsidR="00F84498" w:rsidRPr="0086186A">
        <w:rPr>
          <w:rFonts w:ascii="Times New Roman" w:hAnsi="Times New Roman" w:cs="Times New Roman"/>
          <w:sz w:val="20"/>
          <w:szCs w:val="20"/>
          <w:lang w:val="hr-HR"/>
        </w:rPr>
        <w:t>teritorijalnu</w:t>
      </w:r>
      <w:r w:rsidRPr="0086186A">
        <w:rPr>
          <w:rFonts w:ascii="Times New Roman" w:hAnsi="Times New Roman" w:cs="Times New Roman"/>
          <w:sz w:val="20"/>
          <w:szCs w:val="20"/>
          <w:lang w:val="hr-HR"/>
        </w:rPr>
        <w:t xml:space="preserve"> suradnju. Usvojila ju je Europska komisija, a potvrdilo Europsko vijeće.</w:t>
      </w:r>
      <w:r w:rsidR="00244190" w:rsidRPr="0086186A">
        <w:rPr>
          <w:rFonts w:ascii="Times New Roman" w:hAnsi="Times New Roman" w:cs="Times New Roman"/>
          <w:sz w:val="20"/>
          <w:szCs w:val="20"/>
          <w:lang w:val="hr-HR"/>
        </w:rPr>
        <w:t xml:space="preserve"> Ona pruža integrirani okvir za jačanje suradnje između </w:t>
      </w:r>
      <w:r w:rsidR="0047372E" w:rsidRPr="0086186A">
        <w:rPr>
          <w:rFonts w:ascii="Times New Roman" w:hAnsi="Times New Roman" w:cs="Times New Roman"/>
          <w:sz w:val="20"/>
          <w:szCs w:val="20"/>
          <w:lang w:val="hr-HR"/>
        </w:rPr>
        <w:t>nacija četrnaest država, uključujući obje države članice (primjerice Mađarsku) i države izvan EU-a (primjerice Srbiju), koje zajedno imaju 112 milijuna stanovnika.</w:t>
      </w:r>
    </w:p>
    <w:p w14:paraId="037152B1" w14:textId="2D7E153C" w:rsidR="0047372E" w:rsidRPr="0086186A" w:rsidRDefault="0047372E" w:rsidP="00196877">
      <w:pPr>
        <w:pStyle w:val="BodyText"/>
        <w:ind w:right="135"/>
        <w:jc w:val="both"/>
        <w:rPr>
          <w:rFonts w:ascii="Times New Roman" w:hAnsi="Times New Roman" w:cs="Times New Roman"/>
          <w:sz w:val="20"/>
          <w:szCs w:val="20"/>
          <w:lang w:val="hr-HR"/>
        </w:rPr>
      </w:pPr>
    </w:p>
    <w:p w14:paraId="59017CD5" w14:textId="122929A4" w:rsidR="0047372E" w:rsidRPr="0086186A" w:rsidRDefault="0047372E" w:rsidP="00196877">
      <w:pPr>
        <w:pStyle w:val="BodyText"/>
        <w:ind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Analiza sinergije o povezanosti između Programa i </w:t>
      </w:r>
      <w:proofErr w:type="spellStart"/>
      <w:r w:rsidRPr="0086186A">
        <w:rPr>
          <w:rFonts w:ascii="Times New Roman" w:hAnsi="Times New Roman" w:cs="Times New Roman"/>
          <w:sz w:val="20"/>
          <w:szCs w:val="20"/>
          <w:lang w:val="hr-HR"/>
        </w:rPr>
        <w:t>EUSDR</w:t>
      </w:r>
      <w:proofErr w:type="spellEnd"/>
      <w:r w:rsidRPr="0086186A">
        <w:rPr>
          <w:rFonts w:ascii="Times New Roman" w:hAnsi="Times New Roman" w:cs="Times New Roman"/>
          <w:sz w:val="20"/>
          <w:szCs w:val="20"/>
          <w:lang w:val="hr-HR"/>
        </w:rPr>
        <w:t xml:space="preserve">-a temelji se na dokumentu pod naslovom „Ugrađivanje </w:t>
      </w:r>
      <w:proofErr w:type="spellStart"/>
      <w:r w:rsidRPr="0086186A">
        <w:rPr>
          <w:rFonts w:ascii="Times New Roman" w:hAnsi="Times New Roman" w:cs="Times New Roman"/>
          <w:sz w:val="20"/>
          <w:szCs w:val="20"/>
          <w:lang w:val="hr-HR"/>
        </w:rPr>
        <w:t>EUSDR</w:t>
      </w:r>
      <w:proofErr w:type="spellEnd"/>
      <w:r w:rsidRPr="0086186A">
        <w:rPr>
          <w:rFonts w:ascii="Times New Roman" w:hAnsi="Times New Roman" w:cs="Times New Roman"/>
          <w:sz w:val="20"/>
          <w:szCs w:val="20"/>
          <w:lang w:val="hr-HR"/>
        </w:rPr>
        <w:t xml:space="preserve">-a u fondove EU-a. Sveobuhvatni alat.“  Taj je alat razvijen s ciljem potpunog ugrađivanja </w:t>
      </w:r>
      <w:proofErr w:type="spellStart"/>
      <w:r w:rsidRPr="0086186A">
        <w:rPr>
          <w:rFonts w:ascii="Times New Roman" w:hAnsi="Times New Roman" w:cs="Times New Roman"/>
          <w:sz w:val="20"/>
          <w:szCs w:val="20"/>
          <w:lang w:val="hr-HR"/>
        </w:rPr>
        <w:t>EUSDR</w:t>
      </w:r>
      <w:proofErr w:type="spellEnd"/>
      <w:r w:rsidRPr="0086186A">
        <w:rPr>
          <w:rFonts w:ascii="Times New Roman" w:hAnsi="Times New Roman" w:cs="Times New Roman"/>
          <w:sz w:val="20"/>
          <w:szCs w:val="20"/>
          <w:lang w:val="hr-HR"/>
        </w:rPr>
        <w:t>-a u fondove EU-a.</w:t>
      </w:r>
    </w:p>
    <w:p w14:paraId="502F3246" w14:textId="3DA87C06" w:rsidR="0047372E" w:rsidRPr="0086186A" w:rsidRDefault="0047372E" w:rsidP="00196877">
      <w:pPr>
        <w:pStyle w:val="BodyText"/>
        <w:ind w:right="135"/>
        <w:jc w:val="both"/>
        <w:rPr>
          <w:rFonts w:ascii="Times New Roman" w:hAnsi="Times New Roman" w:cs="Times New Roman"/>
          <w:sz w:val="20"/>
          <w:szCs w:val="20"/>
          <w:lang w:val="hr-HR"/>
        </w:rPr>
      </w:pPr>
    </w:p>
    <w:p w14:paraId="03AACECC" w14:textId="379E0AE9" w:rsidR="0047372E" w:rsidRPr="0086186A" w:rsidRDefault="0047372E" w:rsidP="00196877">
      <w:pPr>
        <w:pStyle w:val="BodyText"/>
        <w:ind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Za svaki odabrani S</w:t>
      </w:r>
      <w:r w:rsidR="00296D06" w:rsidRPr="0086186A">
        <w:rPr>
          <w:rFonts w:ascii="Times New Roman" w:hAnsi="Times New Roman" w:cs="Times New Roman"/>
          <w:sz w:val="20"/>
          <w:szCs w:val="20"/>
          <w:lang w:val="hr-HR"/>
        </w:rPr>
        <w:t>C</w:t>
      </w:r>
      <w:r w:rsidRPr="0086186A">
        <w:rPr>
          <w:rFonts w:ascii="Times New Roman" w:hAnsi="Times New Roman" w:cs="Times New Roman"/>
          <w:sz w:val="20"/>
          <w:szCs w:val="20"/>
          <w:lang w:val="hr-HR"/>
        </w:rPr>
        <w:t xml:space="preserve"> Programa može se utvrditi barem jedna jasna povezanos</w:t>
      </w:r>
      <w:r w:rsidR="00296D06" w:rsidRPr="0086186A">
        <w:rPr>
          <w:rFonts w:ascii="Times New Roman" w:hAnsi="Times New Roman" w:cs="Times New Roman"/>
          <w:sz w:val="20"/>
          <w:szCs w:val="20"/>
          <w:lang w:val="hr-HR"/>
        </w:rPr>
        <w:t>t</w:t>
      </w:r>
      <w:r w:rsidRPr="0086186A">
        <w:rPr>
          <w:rFonts w:ascii="Times New Roman" w:hAnsi="Times New Roman" w:cs="Times New Roman"/>
          <w:sz w:val="20"/>
          <w:szCs w:val="20"/>
          <w:lang w:val="hr-HR"/>
        </w:rPr>
        <w:t xml:space="preserve"> sa skraćenim popisom djelovanja u sklopu </w:t>
      </w:r>
      <w:proofErr w:type="spellStart"/>
      <w:r w:rsidRPr="0086186A">
        <w:rPr>
          <w:rFonts w:ascii="Times New Roman" w:hAnsi="Times New Roman" w:cs="Times New Roman"/>
          <w:sz w:val="20"/>
          <w:szCs w:val="20"/>
          <w:lang w:val="hr-HR"/>
        </w:rPr>
        <w:t>EUSDR</w:t>
      </w:r>
      <w:proofErr w:type="spellEnd"/>
      <w:r w:rsidRPr="0086186A">
        <w:rPr>
          <w:rFonts w:ascii="Times New Roman" w:hAnsi="Times New Roman" w:cs="Times New Roman"/>
          <w:sz w:val="20"/>
          <w:szCs w:val="20"/>
          <w:lang w:val="hr-HR"/>
        </w:rPr>
        <w:t>-a. Uz iznimku dvaju slučajeva (</w:t>
      </w:r>
      <w:r w:rsidR="00F84498">
        <w:rPr>
          <w:rFonts w:ascii="Times New Roman" w:hAnsi="Times New Roman" w:cs="Times New Roman"/>
          <w:sz w:val="20"/>
          <w:szCs w:val="20"/>
          <w:lang w:val="hr-HR"/>
        </w:rPr>
        <w:t>prioritetna os</w:t>
      </w:r>
      <w:r w:rsidRPr="0086186A">
        <w:rPr>
          <w:rFonts w:ascii="Times New Roman" w:hAnsi="Times New Roman" w:cs="Times New Roman"/>
          <w:sz w:val="20"/>
          <w:szCs w:val="20"/>
          <w:lang w:val="hr-HR"/>
        </w:rPr>
        <w:t xml:space="preserve"> 1a Mobilnost</w:t>
      </w:r>
      <w:r w:rsidR="00C36CBF" w:rsidRPr="0086186A">
        <w:rPr>
          <w:rFonts w:ascii="Times New Roman" w:hAnsi="Times New Roman" w:cs="Times New Roman"/>
          <w:sz w:val="20"/>
          <w:szCs w:val="20"/>
          <w:lang w:val="hr-HR"/>
        </w:rPr>
        <w:t xml:space="preserve"> vodnih putova i </w:t>
      </w:r>
      <w:r w:rsidR="00F84498">
        <w:rPr>
          <w:rFonts w:ascii="Times New Roman" w:hAnsi="Times New Roman" w:cs="Times New Roman"/>
          <w:sz w:val="20"/>
          <w:szCs w:val="20"/>
          <w:lang w:val="hr-HR"/>
        </w:rPr>
        <w:t>prioritetna os</w:t>
      </w:r>
      <w:r w:rsidR="00C36CBF" w:rsidRPr="0086186A">
        <w:rPr>
          <w:rFonts w:ascii="Times New Roman" w:hAnsi="Times New Roman" w:cs="Times New Roman"/>
          <w:sz w:val="20"/>
          <w:szCs w:val="20"/>
          <w:lang w:val="hr-HR"/>
        </w:rPr>
        <w:t xml:space="preserve"> 1b Mobilnost željeznica-cesta-zrak; </w:t>
      </w:r>
      <w:r w:rsidR="00F84498">
        <w:rPr>
          <w:rFonts w:ascii="Times New Roman" w:hAnsi="Times New Roman" w:cs="Times New Roman"/>
          <w:sz w:val="20"/>
          <w:szCs w:val="20"/>
          <w:lang w:val="hr-HR"/>
        </w:rPr>
        <w:t>prioritetna os 11</w:t>
      </w:r>
      <w:r w:rsidR="00C36CBF" w:rsidRPr="0086186A">
        <w:rPr>
          <w:rFonts w:ascii="Times New Roman" w:hAnsi="Times New Roman" w:cs="Times New Roman"/>
          <w:sz w:val="20"/>
          <w:szCs w:val="20"/>
          <w:lang w:val="hr-HR"/>
        </w:rPr>
        <w:t xml:space="preserve"> Sigurnost),</w:t>
      </w:r>
      <w:r w:rsidR="00C44629" w:rsidRPr="0086186A">
        <w:rPr>
          <w:rFonts w:ascii="Times New Roman" w:hAnsi="Times New Roman" w:cs="Times New Roman"/>
          <w:sz w:val="20"/>
          <w:szCs w:val="20"/>
          <w:lang w:val="hr-HR"/>
        </w:rPr>
        <w:t xml:space="preserve"> </w:t>
      </w:r>
      <w:r w:rsidR="00F84498">
        <w:rPr>
          <w:rFonts w:ascii="Times New Roman" w:hAnsi="Times New Roman" w:cs="Times New Roman"/>
          <w:sz w:val="20"/>
          <w:szCs w:val="20"/>
          <w:lang w:val="hr-HR"/>
        </w:rPr>
        <w:t>sve prioritetne osi</w:t>
      </w:r>
      <w:r w:rsidR="00C44629" w:rsidRPr="0086186A">
        <w:rPr>
          <w:rFonts w:ascii="Times New Roman" w:hAnsi="Times New Roman" w:cs="Times New Roman"/>
          <w:sz w:val="20"/>
          <w:szCs w:val="20"/>
          <w:lang w:val="hr-HR"/>
        </w:rPr>
        <w:t xml:space="preserve"> </w:t>
      </w:r>
      <w:proofErr w:type="spellStart"/>
      <w:r w:rsidR="00C44629" w:rsidRPr="0086186A">
        <w:rPr>
          <w:rFonts w:ascii="Times New Roman" w:hAnsi="Times New Roman" w:cs="Times New Roman"/>
          <w:sz w:val="20"/>
          <w:szCs w:val="20"/>
          <w:lang w:val="hr-HR"/>
        </w:rPr>
        <w:t>EUSDR</w:t>
      </w:r>
      <w:proofErr w:type="spellEnd"/>
      <w:r w:rsidR="00C44629" w:rsidRPr="0086186A">
        <w:rPr>
          <w:rFonts w:ascii="Times New Roman" w:hAnsi="Times New Roman" w:cs="Times New Roman"/>
          <w:sz w:val="20"/>
          <w:szCs w:val="20"/>
          <w:lang w:val="hr-HR"/>
        </w:rPr>
        <w:t xml:space="preserve">-ova imaju i sinergiju sa </w:t>
      </w:r>
      <w:r w:rsidR="00F84498">
        <w:rPr>
          <w:rFonts w:ascii="Times New Roman" w:hAnsi="Times New Roman" w:cs="Times New Roman"/>
          <w:sz w:val="20"/>
          <w:szCs w:val="20"/>
          <w:lang w:val="hr-HR"/>
        </w:rPr>
        <w:t>posebnim ciljevima</w:t>
      </w:r>
      <w:r w:rsidR="00C44629" w:rsidRPr="0086186A">
        <w:rPr>
          <w:rFonts w:ascii="Times New Roman" w:hAnsi="Times New Roman" w:cs="Times New Roman"/>
          <w:sz w:val="20"/>
          <w:szCs w:val="20"/>
          <w:lang w:val="hr-HR"/>
        </w:rPr>
        <w:t xml:space="preserve"> Programa prekogranične suradnje.</w:t>
      </w:r>
    </w:p>
    <w:p w14:paraId="0D780DE0" w14:textId="77777777" w:rsidR="00DA1E37" w:rsidRPr="0086186A" w:rsidRDefault="00DA1E37" w:rsidP="00D8786F">
      <w:pPr>
        <w:pStyle w:val="BodyText"/>
        <w:ind w:left="170" w:right="135"/>
        <w:jc w:val="both"/>
        <w:rPr>
          <w:rFonts w:ascii="Times New Roman" w:hAnsi="Times New Roman" w:cs="Times New Roman"/>
          <w:sz w:val="20"/>
          <w:szCs w:val="20"/>
          <w:lang w:val="hr-HR"/>
        </w:rPr>
      </w:pPr>
    </w:p>
    <w:p w14:paraId="72D6559E" w14:textId="40C1AEF5" w:rsidR="00D16294" w:rsidRPr="0086186A" w:rsidRDefault="00D16294" w:rsidP="00D8786F">
      <w:pPr>
        <w:pStyle w:val="BodyText"/>
        <w:ind w:left="170" w:right="135"/>
        <w:jc w:val="both"/>
        <w:rPr>
          <w:rFonts w:ascii="Times New Roman" w:hAnsi="Times New Roman"/>
          <w:color w:val="000000"/>
          <w:sz w:val="20"/>
          <w:lang w:val="hr-HR"/>
        </w:rPr>
      </w:pP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35"/>
        <w:gridCol w:w="1419"/>
        <w:gridCol w:w="1147"/>
        <w:gridCol w:w="1316"/>
        <w:gridCol w:w="1287"/>
        <w:gridCol w:w="1300"/>
        <w:gridCol w:w="1246"/>
      </w:tblGrid>
      <w:tr w:rsidR="00D759E1" w:rsidRPr="0086186A" w14:paraId="7A4A70DF" w14:textId="77777777" w:rsidTr="002A60D3">
        <w:trPr>
          <w:cantSplit/>
          <w:trHeight w:val="300"/>
          <w:tblHeader/>
          <w:jc w:val="center"/>
        </w:trPr>
        <w:tc>
          <w:tcPr>
            <w:tcW w:w="1537" w:type="dxa"/>
            <w:vMerge w:val="restart"/>
            <w:shd w:val="clear" w:color="auto" w:fill="auto"/>
            <w:vAlign w:val="center"/>
            <w:hideMark/>
          </w:tcPr>
          <w:p w14:paraId="5E90B315" w14:textId="3B99E98B" w:rsidR="00D759E1" w:rsidRPr="0086186A" w:rsidRDefault="00462BF7" w:rsidP="00D16294">
            <w:pPr>
              <w:pStyle w:val="SorkznlklCESCI2020"/>
              <w:rPr>
                <w:rFonts w:ascii="Times New Roman" w:hAnsi="Times New Roman"/>
                <w:sz w:val="18"/>
                <w:lang w:val="hr-HR"/>
              </w:rPr>
            </w:pPr>
            <w:r w:rsidRPr="0086186A">
              <w:rPr>
                <w:rFonts w:ascii="Times New Roman" w:hAnsi="Times New Roman"/>
                <w:sz w:val="18"/>
                <w:lang w:val="hr-HR"/>
              </w:rPr>
              <w:t>Predloženi</w:t>
            </w:r>
            <w:r w:rsidR="00D759E1" w:rsidRPr="0086186A">
              <w:rPr>
                <w:rFonts w:ascii="Times New Roman" w:hAnsi="Times New Roman"/>
                <w:sz w:val="18"/>
                <w:lang w:val="hr-HR"/>
              </w:rPr>
              <w:t xml:space="preserve"> </w:t>
            </w:r>
            <w:r w:rsidR="000A5853" w:rsidRPr="0086186A">
              <w:rPr>
                <w:rFonts w:ascii="Times New Roman" w:hAnsi="Times New Roman"/>
                <w:sz w:val="18"/>
                <w:lang w:val="hr-HR"/>
              </w:rPr>
              <w:t>posebni ciljevi</w:t>
            </w:r>
            <w:r w:rsidR="00D759E1" w:rsidRPr="0086186A">
              <w:rPr>
                <w:rFonts w:ascii="Times New Roman" w:hAnsi="Times New Roman"/>
                <w:sz w:val="18"/>
                <w:lang w:val="hr-HR"/>
              </w:rPr>
              <w:t xml:space="preserve"> →</w:t>
            </w:r>
          </w:p>
          <w:p w14:paraId="70330C03" w14:textId="414020FB" w:rsidR="00D759E1" w:rsidRPr="0086186A" w:rsidRDefault="00EA477C" w:rsidP="00D16294">
            <w:pPr>
              <w:pStyle w:val="SorkznlklCESCI2020"/>
              <w:rPr>
                <w:rFonts w:ascii="Times New Roman" w:hAnsi="Times New Roman"/>
                <w:b/>
                <w:sz w:val="18"/>
                <w:lang w:val="hr-HR"/>
              </w:rPr>
            </w:pPr>
            <w:r w:rsidRPr="0086186A">
              <w:rPr>
                <w:rFonts w:ascii="Times New Roman" w:hAnsi="Times New Roman"/>
                <w:sz w:val="18"/>
                <w:lang w:val="hr-HR"/>
              </w:rPr>
              <w:t>Prioritetne osi</w:t>
            </w:r>
            <w:r w:rsidR="00462BF7" w:rsidRPr="0086186A">
              <w:rPr>
                <w:rFonts w:ascii="Times New Roman" w:hAnsi="Times New Roman"/>
                <w:sz w:val="18"/>
                <w:lang w:val="hr-HR"/>
              </w:rPr>
              <w:t xml:space="preserve"> </w:t>
            </w:r>
            <w:proofErr w:type="spellStart"/>
            <w:r w:rsidR="00D759E1" w:rsidRPr="0086186A">
              <w:rPr>
                <w:rFonts w:ascii="Times New Roman" w:hAnsi="Times New Roman"/>
                <w:sz w:val="18"/>
                <w:lang w:val="hr-HR"/>
              </w:rPr>
              <w:t>EUSDR</w:t>
            </w:r>
            <w:proofErr w:type="spellEnd"/>
            <w:r w:rsidR="00462BF7" w:rsidRPr="0086186A">
              <w:rPr>
                <w:rFonts w:ascii="Times New Roman" w:hAnsi="Times New Roman"/>
                <w:sz w:val="18"/>
                <w:lang w:val="hr-HR"/>
              </w:rPr>
              <w:t>-a</w:t>
            </w:r>
            <w:r w:rsidR="00D759E1" w:rsidRPr="0086186A">
              <w:rPr>
                <w:rFonts w:ascii="Times New Roman" w:hAnsi="Times New Roman"/>
                <w:sz w:val="18"/>
                <w:lang w:val="hr-HR"/>
              </w:rPr>
              <w:t xml:space="preserve"> ↓</w:t>
            </w:r>
          </w:p>
        </w:tc>
        <w:tc>
          <w:tcPr>
            <w:tcW w:w="1421" w:type="dxa"/>
            <w:tcBorders>
              <w:bottom w:val="nil"/>
            </w:tcBorders>
            <w:shd w:val="clear" w:color="auto" w:fill="auto"/>
            <w:vAlign w:val="center"/>
            <w:hideMark/>
          </w:tcPr>
          <w:p w14:paraId="7160B1B1" w14:textId="4E29015F" w:rsidR="00D759E1" w:rsidRPr="0086186A" w:rsidRDefault="00D759E1" w:rsidP="00D16294">
            <w:pPr>
              <w:pStyle w:val="SorkznlklCESCI2020"/>
              <w:jc w:val="center"/>
              <w:rPr>
                <w:rFonts w:ascii="Times New Roman" w:hAnsi="Times New Roman"/>
                <w:b/>
                <w:sz w:val="18"/>
                <w:lang w:val="hr-HR"/>
              </w:rPr>
            </w:pPr>
            <w:r w:rsidRPr="0086186A">
              <w:rPr>
                <w:rFonts w:ascii="Times New Roman" w:hAnsi="Times New Roman"/>
                <w:b/>
                <w:sz w:val="18"/>
                <w:lang w:val="hr-HR"/>
              </w:rPr>
              <w:t>PO1 – S</w:t>
            </w:r>
            <w:r w:rsidR="009E554E" w:rsidRPr="0086186A">
              <w:rPr>
                <w:rFonts w:ascii="Times New Roman" w:hAnsi="Times New Roman"/>
                <w:b/>
                <w:sz w:val="18"/>
                <w:lang w:val="hr-HR"/>
              </w:rPr>
              <w:t>O</w:t>
            </w:r>
            <w:r w:rsidRPr="0086186A">
              <w:rPr>
                <w:rFonts w:ascii="Times New Roman" w:hAnsi="Times New Roman"/>
                <w:b/>
                <w:sz w:val="18"/>
                <w:lang w:val="hr-HR"/>
              </w:rPr>
              <w:t xml:space="preserve"> …</w:t>
            </w:r>
          </w:p>
        </w:tc>
        <w:tc>
          <w:tcPr>
            <w:tcW w:w="1148" w:type="dxa"/>
            <w:tcBorders>
              <w:bottom w:val="nil"/>
            </w:tcBorders>
            <w:shd w:val="clear" w:color="auto" w:fill="auto"/>
          </w:tcPr>
          <w:p w14:paraId="2CF36381" w14:textId="5CC22E41" w:rsidR="00D759E1" w:rsidRPr="0086186A" w:rsidRDefault="00D759E1" w:rsidP="00D16294">
            <w:pPr>
              <w:pStyle w:val="SorkznlklCESCI2020"/>
              <w:jc w:val="center"/>
              <w:rPr>
                <w:rFonts w:ascii="Times New Roman" w:hAnsi="Times New Roman"/>
                <w:b/>
                <w:sz w:val="18"/>
                <w:lang w:val="hr-HR"/>
              </w:rPr>
            </w:pPr>
            <w:r w:rsidRPr="0086186A">
              <w:rPr>
                <w:rFonts w:ascii="Times New Roman" w:hAnsi="Times New Roman"/>
                <w:b/>
                <w:sz w:val="18"/>
                <w:lang w:val="hr-HR"/>
              </w:rPr>
              <w:t>PO2 – S</w:t>
            </w:r>
            <w:r w:rsidR="009E554E" w:rsidRPr="0086186A">
              <w:rPr>
                <w:rFonts w:ascii="Times New Roman" w:hAnsi="Times New Roman"/>
                <w:b/>
                <w:sz w:val="18"/>
                <w:lang w:val="hr-HR"/>
              </w:rPr>
              <w:t>O</w:t>
            </w:r>
            <w:r w:rsidRPr="0086186A">
              <w:rPr>
                <w:rFonts w:ascii="Times New Roman" w:hAnsi="Times New Roman"/>
                <w:b/>
                <w:sz w:val="18"/>
                <w:lang w:val="hr-HR"/>
              </w:rPr>
              <w:t xml:space="preserve"> …</w:t>
            </w:r>
          </w:p>
        </w:tc>
        <w:tc>
          <w:tcPr>
            <w:tcW w:w="1318" w:type="dxa"/>
            <w:tcBorders>
              <w:bottom w:val="nil"/>
            </w:tcBorders>
            <w:shd w:val="clear" w:color="auto" w:fill="auto"/>
            <w:vAlign w:val="center"/>
            <w:hideMark/>
          </w:tcPr>
          <w:p w14:paraId="258DD501" w14:textId="4F9F0782" w:rsidR="00D759E1" w:rsidRPr="0086186A" w:rsidRDefault="00D759E1" w:rsidP="00D16294">
            <w:pPr>
              <w:pStyle w:val="SorkznlklCESCI2020"/>
              <w:jc w:val="center"/>
              <w:rPr>
                <w:rFonts w:ascii="Times New Roman" w:hAnsi="Times New Roman"/>
                <w:b/>
                <w:sz w:val="18"/>
                <w:lang w:val="hr-HR"/>
              </w:rPr>
            </w:pPr>
            <w:r w:rsidRPr="0086186A">
              <w:rPr>
                <w:rFonts w:ascii="Times New Roman" w:hAnsi="Times New Roman"/>
                <w:b/>
                <w:sz w:val="18"/>
                <w:lang w:val="hr-HR"/>
              </w:rPr>
              <w:t>PO2 – S</w:t>
            </w:r>
            <w:r w:rsidR="009E554E" w:rsidRPr="0086186A">
              <w:rPr>
                <w:rFonts w:ascii="Times New Roman" w:hAnsi="Times New Roman"/>
                <w:b/>
                <w:sz w:val="18"/>
                <w:lang w:val="hr-HR"/>
              </w:rPr>
              <w:t>O</w:t>
            </w:r>
            <w:r w:rsidRPr="0086186A">
              <w:rPr>
                <w:rFonts w:ascii="Times New Roman" w:hAnsi="Times New Roman"/>
                <w:b/>
                <w:sz w:val="18"/>
                <w:lang w:val="hr-HR"/>
              </w:rPr>
              <w:t xml:space="preserve"> …</w:t>
            </w:r>
          </w:p>
        </w:tc>
        <w:tc>
          <w:tcPr>
            <w:tcW w:w="1288" w:type="dxa"/>
            <w:tcBorders>
              <w:bottom w:val="nil"/>
            </w:tcBorders>
            <w:shd w:val="clear" w:color="auto" w:fill="auto"/>
            <w:vAlign w:val="center"/>
            <w:hideMark/>
          </w:tcPr>
          <w:p w14:paraId="4D314B06" w14:textId="6ACF372D" w:rsidR="00D759E1" w:rsidRPr="0086186A" w:rsidRDefault="00D759E1" w:rsidP="00D16294">
            <w:pPr>
              <w:pStyle w:val="SorkznlklCESCI2020"/>
              <w:jc w:val="center"/>
              <w:rPr>
                <w:rFonts w:ascii="Times New Roman" w:hAnsi="Times New Roman"/>
                <w:b/>
                <w:sz w:val="18"/>
                <w:lang w:val="hr-HR"/>
              </w:rPr>
            </w:pPr>
            <w:r w:rsidRPr="0086186A">
              <w:rPr>
                <w:rFonts w:ascii="Times New Roman" w:hAnsi="Times New Roman"/>
                <w:b/>
                <w:sz w:val="18"/>
                <w:lang w:val="hr-HR"/>
              </w:rPr>
              <w:t>PO4 – S</w:t>
            </w:r>
            <w:r w:rsidR="009E554E" w:rsidRPr="0086186A">
              <w:rPr>
                <w:rFonts w:ascii="Times New Roman" w:hAnsi="Times New Roman"/>
                <w:b/>
                <w:sz w:val="18"/>
                <w:lang w:val="hr-HR"/>
              </w:rPr>
              <w:t>O</w:t>
            </w:r>
            <w:r w:rsidRPr="0086186A">
              <w:rPr>
                <w:rFonts w:ascii="Times New Roman" w:hAnsi="Times New Roman"/>
                <w:b/>
                <w:sz w:val="18"/>
                <w:lang w:val="hr-HR"/>
              </w:rPr>
              <w:t xml:space="preserve"> …</w:t>
            </w:r>
          </w:p>
        </w:tc>
        <w:tc>
          <w:tcPr>
            <w:tcW w:w="1289" w:type="dxa"/>
            <w:tcBorders>
              <w:bottom w:val="nil"/>
            </w:tcBorders>
            <w:shd w:val="clear" w:color="auto" w:fill="auto"/>
            <w:vAlign w:val="center"/>
            <w:hideMark/>
          </w:tcPr>
          <w:p w14:paraId="7717FFD7" w14:textId="400E908F" w:rsidR="00D759E1" w:rsidRPr="0086186A" w:rsidRDefault="00D759E1" w:rsidP="00D16294">
            <w:pPr>
              <w:pStyle w:val="SorkznlklCESCI2020"/>
              <w:jc w:val="center"/>
              <w:rPr>
                <w:rFonts w:ascii="Times New Roman" w:hAnsi="Times New Roman"/>
                <w:b/>
                <w:sz w:val="18"/>
                <w:lang w:val="hr-HR"/>
              </w:rPr>
            </w:pPr>
            <w:r w:rsidRPr="0086186A">
              <w:rPr>
                <w:rFonts w:ascii="Times New Roman" w:hAnsi="Times New Roman"/>
                <w:b/>
                <w:sz w:val="18"/>
                <w:lang w:val="hr-HR"/>
              </w:rPr>
              <w:t>PO4 – S</w:t>
            </w:r>
            <w:r w:rsidR="009E554E" w:rsidRPr="0086186A">
              <w:rPr>
                <w:rFonts w:ascii="Times New Roman" w:hAnsi="Times New Roman"/>
                <w:b/>
                <w:sz w:val="18"/>
                <w:lang w:val="hr-HR"/>
              </w:rPr>
              <w:t>O</w:t>
            </w:r>
            <w:r w:rsidRPr="0086186A">
              <w:rPr>
                <w:rFonts w:ascii="Times New Roman" w:hAnsi="Times New Roman"/>
                <w:b/>
                <w:sz w:val="18"/>
                <w:lang w:val="hr-HR"/>
              </w:rPr>
              <w:t xml:space="preserve"> …</w:t>
            </w:r>
          </w:p>
        </w:tc>
        <w:tc>
          <w:tcPr>
            <w:tcW w:w="1249" w:type="dxa"/>
            <w:tcBorders>
              <w:bottom w:val="nil"/>
            </w:tcBorders>
            <w:shd w:val="clear" w:color="auto" w:fill="auto"/>
            <w:vAlign w:val="center"/>
            <w:hideMark/>
          </w:tcPr>
          <w:p w14:paraId="6EBED310" w14:textId="73A62FCE" w:rsidR="00D759E1" w:rsidRPr="0086186A" w:rsidRDefault="00D759E1" w:rsidP="00D16294">
            <w:pPr>
              <w:pStyle w:val="SorkznlklCESCI2020"/>
              <w:jc w:val="center"/>
              <w:rPr>
                <w:rFonts w:ascii="Times New Roman" w:hAnsi="Times New Roman"/>
                <w:b/>
                <w:sz w:val="18"/>
                <w:lang w:val="hr-HR"/>
              </w:rPr>
            </w:pPr>
            <w:r w:rsidRPr="0086186A">
              <w:rPr>
                <w:rFonts w:ascii="Times New Roman" w:hAnsi="Times New Roman"/>
                <w:b/>
                <w:sz w:val="18"/>
                <w:lang w:val="hr-HR"/>
              </w:rPr>
              <w:t>ISO1</w:t>
            </w:r>
          </w:p>
        </w:tc>
      </w:tr>
      <w:tr w:rsidR="00D759E1" w:rsidRPr="0086186A" w14:paraId="0727AED7" w14:textId="77777777" w:rsidTr="002A60D3">
        <w:trPr>
          <w:trHeight w:val="960"/>
          <w:tblHeader/>
          <w:jc w:val="center"/>
        </w:trPr>
        <w:tc>
          <w:tcPr>
            <w:tcW w:w="1537" w:type="dxa"/>
            <w:vMerge/>
            <w:shd w:val="clear" w:color="auto" w:fill="auto"/>
            <w:vAlign w:val="center"/>
            <w:hideMark/>
          </w:tcPr>
          <w:p w14:paraId="14D90F9A" w14:textId="77777777" w:rsidR="00D759E1" w:rsidRPr="0086186A" w:rsidRDefault="00D759E1" w:rsidP="00D16294">
            <w:pPr>
              <w:pStyle w:val="SorkznlklCESCI2020"/>
              <w:rPr>
                <w:rFonts w:ascii="Times New Roman" w:hAnsi="Times New Roman"/>
                <w:b/>
                <w:sz w:val="18"/>
                <w:lang w:val="hr-HR"/>
              </w:rPr>
            </w:pPr>
          </w:p>
        </w:tc>
        <w:tc>
          <w:tcPr>
            <w:tcW w:w="1421" w:type="dxa"/>
            <w:tcBorders>
              <w:top w:val="nil"/>
            </w:tcBorders>
            <w:shd w:val="clear" w:color="auto" w:fill="auto"/>
            <w:hideMark/>
          </w:tcPr>
          <w:p w14:paraId="663852B2" w14:textId="01E29169" w:rsidR="00D759E1" w:rsidRPr="0086186A" w:rsidRDefault="00D759E1" w:rsidP="009E554E">
            <w:pPr>
              <w:pStyle w:val="SorkznlklCESCI2020"/>
              <w:rPr>
                <w:rFonts w:ascii="Times New Roman" w:hAnsi="Times New Roman"/>
                <w:sz w:val="18"/>
                <w:lang w:val="hr-HR"/>
              </w:rPr>
            </w:pPr>
            <w:r w:rsidRPr="0086186A">
              <w:rPr>
                <w:rFonts w:ascii="Times New Roman" w:hAnsi="Times New Roman" w:cs="Times New Roman"/>
                <w:sz w:val="18"/>
                <w:szCs w:val="18"/>
                <w:lang w:val="hr-HR"/>
              </w:rPr>
              <w:t xml:space="preserve">(iii) </w:t>
            </w:r>
            <w:r w:rsidR="009E554E" w:rsidRPr="0086186A">
              <w:rPr>
                <w:rFonts w:ascii="Times New Roman" w:eastAsia="Cambria" w:hAnsi="Times New Roman" w:cs="Times New Roman"/>
                <w:sz w:val="18"/>
                <w:szCs w:val="18"/>
                <w:lang w:val="hr-HR" w:eastAsia="en-US"/>
              </w:rPr>
              <w:t xml:space="preserve">Jačanje održivog rasta i konkurentnosti </w:t>
            </w:r>
            <w:proofErr w:type="spellStart"/>
            <w:r w:rsidR="009E554E" w:rsidRPr="0086186A">
              <w:rPr>
                <w:rFonts w:ascii="Times New Roman" w:eastAsia="Cambria" w:hAnsi="Times New Roman" w:cs="Times New Roman"/>
                <w:sz w:val="18"/>
                <w:szCs w:val="18"/>
                <w:lang w:val="hr-HR" w:eastAsia="en-US"/>
              </w:rPr>
              <w:t>MSP</w:t>
            </w:r>
            <w:proofErr w:type="spellEnd"/>
            <w:r w:rsidR="009E554E" w:rsidRPr="0086186A">
              <w:rPr>
                <w:rFonts w:ascii="Times New Roman" w:eastAsia="Cambria" w:hAnsi="Times New Roman" w:cs="Times New Roman"/>
                <w:sz w:val="18"/>
                <w:szCs w:val="18"/>
                <w:lang w:val="hr-HR" w:eastAsia="en-US"/>
              </w:rPr>
              <w:t xml:space="preserve">-ova i otvaranje radnih mjesta u njima, među ostalim i kroz produktivna ulaganja </w:t>
            </w:r>
          </w:p>
        </w:tc>
        <w:tc>
          <w:tcPr>
            <w:tcW w:w="1148" w:type="dxa"/>
            <w:tcBorders>
              <w:top w:val="nil"/>
            </w:tcBorders>
            <w:shd w:val="clear" w:color="auto" w:fill="auto"/>
          </w:tcPr>
          <w:p w14:paraId="119AA192" w14:textId="1ABAE5F3" w:rsidR="00D759E1" w:rsidRPr="0086186A" w:rsidRDefault="00D759E1" w:rsidP="00D16294">
            <w:pPr>
              <w:pStyle w:val="TableParagraph"/>
              <w:rPr>
                <w:rFonts w:ascii="Times New Roman" w:hAnsi="Times New Roman"/>
                <w:sz w:val="18"/>
                <w:lang w:val="hr-HR"/>
              </w:rPr>
            </w:pPr>
            <w:r w:rsidRPr="0086186A">
              <w:rPr>
                <w:rFonts w:ascii="Times New Roman" w:hAnsi="Times New Roman"/>
                <w:sz w:val="18"/>
                <w:lang w:val="hr-HR"/>
              </w:rPr>
              <w:t xml:space="preserve">(i) </w:t>
            </w:r>
            <w:r w:rsidR="009E554E" w:rsidRPr="0086186A">
              <w:rPr>
                <w:rFonts w:ascii="Times New Roman" w:hAnsi="Times New Roman"/>
                <w:sz w:val="18"/>
                <w:lang w:val="hr-HR"/>
              </w:rPr>
              <w:t>Promicanje mjera energetske učinkovitosti i smanjenje emisija stakleničkih plinova</w:t>
            </w:r>
          </w:p>
        </w:tc>
        <w:tc>
          <w:tcPr>
            <w:tcW w:w="1318" w:type="dxa"/>
            <w:tcBorders>
              <w:top w:val="nil"/>
            </w:tcBorders>
            <w:shd w:val="clear" w:color="auto" w:fill="auto"/>
            <w:hideMark/>
          </w:tcPr>
          <w:p w14:paraId="0290DBAA" w14:textId="505E7FFD" w:rsidR="00D759E1" w:rsidRPr="0086186A" w:rsidRDefault="00D759E1" w:rsidP="00D16294">
            <w:pPr>
              <w:pStyle w:val="TableParagraph"/>
              <w:rPr>
                <w:rFonts w:ascii="Times New Roman" w:hAnsi="Times New Roman" w:cs="Times New Roman"/>
                <w:sz w:val="18"/>
                <w:szCs w:val="18"/>
                <w:lang w:val="hr-HR"/>
              </w:rPr>
            </w:pPr>
            <w:r w:rsidRPr="0086186A">
              <w:rPr>
                <w:rFonts w:ascii="Times New Roman" w:hAnsi="Times New Roman"/>
                <w:sz w:val="18"/>
                <w:lang w:val="hr-HR"/>
              </w:rPr>
              <w:t>(</w:t>
            </w:r>
            <w:r w:rsidRPr="0086186A">
              <w:rPr>
                <w:rFonts w:ascii="Times New Roman" w:hAnsi="Times New Roman" w:cs="Times New Roman"/>
                <w:sz w:val="18"/>
                <w:szCs w:val="18"/>
                <w:lang w:val="hr-HR"/>
              </w:rPr>
              <w:t xml:space="preserve">iv) </w:t>
            </w:r>
            <w:r w:rsidR="009E554E" w:rsidRPr="0086186A">
              <w:rPr>
                <w:rFonts w:ascii="Times New Roman" w:hAnsi="Times New Roman" w:cs="Times New Roman"/>
                <w:sz w:val="18"/>
                <w:szCs w:val="18"/>
                <w:lang w:val="hr-HR"/>
              </w:rPr>
              <w:t>Promicanje prilagodbe klimatskim promjenama i sprječavanja rizika od katastrofa te otpornosti, uzimajući u obzir pristupe utemeljene na ekosustavima</w:t>
            </w:r>
          </w:p>
          <w:p w14:paraId="19C96902" w14:textId="0A1B746B" w:rsidR="00D759E1" w:rsidRPr="0086186A" w:rsidRDefault="00D759E1" w:rsidP="000B45BF">
            <w:pPr>
              <w:pStyle w:val="TableParagraph"/>
              <w:rPr>
                <w:rFonts w:ascii="Times New Roman" w:hAnsi="Times New Roman"/>
                <w:sz w:val="18"/>
                <w:lang w:val="hr-HR"/>
              </w:rPr>
            </w:pPr>
          </w:p>
        </w:tc>
        <w:tc>
          <w:tcPr>
            <w:tcW w:w="1288" w:type="dxa"/>
            <w:tcBorders>
              <w:top w:val="nil"/>
            </w:tcBorders>
            <w:shd w:val="clear" w:color="auto" w:fill="auto"/>
            <w:hideMark/>
          </w:tcPr>
          <w:p w14:paraId="5F4D88F8" w14:textId="6D0D6DFF" w:rsidR="00D759E1" w:rsidRPr="0086186A" w:rsidRDefault="00D759E1" w:rsidP="00D16294">
            <w:pPr>
              <w:pStyle w:val="TableParagraph"/>
              <w:rPr>
                <w:rFonts w:ascii="Times New Roman" w:hAnsi="Times New Roman"/>
                <w:sz w:val="18"/>
                <w:lang w:val="hr-HR"/>
              </w:rPr>
            </w:pPr>
            <w:r w:rsidRPr="0086186A">
              <w:rPr>
                <w:rFonts w:ascii="Times New Roman" w:hAnsi="Times New Roman"/>
                <w:sz w:val="18"/>
                <w:lang w:val="hr-HR"/>
              </w:rPr>
              <w:t xml:space="preserve">(vi) </w:t>
            </w:r>
            <w:r w:rsidR="009E554E" w:rsidRPr="0086186A">
              <w:rPr>
                <w:rFonts w:ascii="Times New Roman" w:hAnsi="Times New Roman"/>
                <w:sz w:val="18"/>
                <w:lang w:val="hr-HR"/>
              </w:rPr>
              <w:t>Jačanje uloge kulture i održivog turizma u gospodarskom razvoju, socijalnoj uključenosti i socijalnim inovacijama</w:t>
            </w:r>
          </w:p>
          <w:p w14:paraId="5ECE2C3E" w14:textId="5A4DE391" w:rsidR="00D759E1" w:rsidRPr="0086186A" w:rsidRDefault="00D759E1" w:rsidP="00D16294">
            <w:pPr>
              <w:pStyle w:val="SorkznlklCESCI2020"/>
              <w:jc w:val="center"/>
              <w:rPr>
                <w:rFonts w:ascii="Times New Roman" w:hAnsi="Times New Roman"/>
                <w:sz w:val="18"/>
                <w:lang w:val="hr-HR"/>
              </w:rPr>
            </w:pPr>
          </w:p>
        </w:tc>
        <w:tc>
          <w:tcPr>
            <w:tcW w:w="1289" w:type="dxa"/>
            <w:tcBorders>
              <w:top w:val="nil"/>
            </w:tcBorders>
            <w:shd w:val="clear" w:color="auto" w:fill="auto"/>
            <w:hideMark/>
          </w:tcPr>
          <w:p w14:paraId="26844168" w14:textId="474561B8" w:rsidR="00D759E1" w:rsidRPr="0086186A" w:rsidRDefault="00D759E1" w:rsidP="009E554E">
            <w:pPr>
              <w:pStyle w:val="SorkznlklCESCI2020"/>
              <w:rPr>
                <w:rFonts w:ascii="Times New Roman" w:hAnsi="Times New Roman"/>
                <w:sz w:val="18"/>
                <w:lang w:val="hr-HR"/>
              </w:rPr>
            </w:pPr>
            <w:r w:rsidRPr="0086186A">
              <w:rPr>
                <w:rFonts w:ascii="Times New Roman" w:hAnsi="Times New Roman"/>
                <w:sz w:val="18"/>
                <w:lang w:val="hr-HR"/>
              </w:rPr>
              <w:t xml:space="preserve">(ii) </w:t>
            </w:r>
            <w:r w:rsidR="009E554E" w:rsidRPr="0086186A">
              <w:rPr>
                <w:rFonts w:ascii="Times New Roman" w:eastAsia="Cambria" w:hAnsi="Times New Roman" w:cs="Cambria"/>
                <w:sz w:val="18"/>
                <w:lang w:val="hr-HR" w:eastAsia="en-US"/>
              </w:rPr>
              <w:t xml:space="preserve">Poboljšanje pristupa </w:t>
            </w:r>
            <w:proofErr w:type="spellStart"/>
            <w:r w:rsidR="009E554E" w:rsidRPr="0086186A">
              <w:rPr>
                <w:rFonts w:ascii="Times New Roman" w:eastAsia="Cambria" w:hAnsi="Times New Roman" w:cs="Cambria"/>
                <w:sz w:val="18"/>
                <w:lang w:val="hr-HR" w:eastAsia="en-US"/>
              </w:rPr>
              <w:t>uključivim</w:t>
            </w:r>
            <w:proofErr w:type="spellEnd"/>
            <w:r w:rsidR="009E554E" w:rsidRPr="0086186A">
              <w:rPr>
                <w:rFonts w:ascii="Times New Roman" w:eastAsia="Cambria" w:hAnsi="Times New Roman" w:cs="Cambria"/>
                <w:sz w:val="18"/>
                <w:lang w:val="hr-HR" w:eastAsia="en-US"/>
              </w:rPr>
              <w:t xml:space="preserve"> i kvalitetnim uslugama obrazovanja, osposobljavanja i cjeloživotnog učenja razvojem infrastrukture, među ostalim jačanjem otpornosti obrazovanja i osposobljavanja na daljinu i na internetu </w:t>
            </w:r>
          </w:p>
        </w:tc>
        <w:tc>
          <w:tcPr>
            <w:tcW w:w="1249" w:type="dxa"/>
            <w:tcBorders>
              <w:top w:val="nil"/>
            </w:tcBorders>
            <w:shd w:val="clear" w:color="auto" w:fill="auto"/>
            <w:hideMark/>
          </w:tcPr>
          <w:p w14:paraId="3ACE086D" w14:textId="4D9D4791" w:rsidR="00D759E1" w:rsidRPr="0086186A" w:rsidRDefault="009E554E" w:rsidP="00D16294">
            <w:pPr>
              <w:pStyle w:val="SorkznlklCESCI2020"/>
              <w:jc w:val="center"/>
              <w:rPr>
                <w:rFonts w:ascii="Times New Roman" w:hAnsi="Times New Roman"/>
                <w:sz w:val="18"/>
                <w:lang w:val="hr-HR"/>
              </w:rPr>
            </w:pPr>
            <w:r w:rsidRPr="0086186A">
              <w:rPr>
                <w:rFonts w:ascii="Times New Roman" w:hAnsi="Times New Roman"/>
                <w:sz w:val="18"/>
                <w:lang w:val="hr-HR"/>
              </w:rPr>
              <w:t>Bolje upravljanje suradnjom</w:t>
            </w:r>
          </w:p>
        </w:tc>
      </w:tr>
      <w:tr w:rsidR="00D759E1" w:rsidRPr="0086186A" w14:paraId="254DECB6" w14:textId="77777777" w:rsidTr="002A60D3">
        <w:trPr>
          <w:trHeight w:val="480"/>
          <w:jc w:val="center"/>
        </w:trPr>
        <w:tc>
          <w:tcPr>
            <w:tcW w:w="1537" w:type="dxa"/>
            <w:shd w:val="clear" w:color="auto" w:fill="auto"/>
            <w:vAlign w:val="center"/>
            <w:hideMark/>
          </w:tcPr>
          <w:p w14:paraId="186B275A" w14:textId="142CC018" w:rsidR="00D759E1" w:rsidRPr="0086186A" w:rsidRDefault="00D759E1" w:rsidP="004C1C77">
            <w:pPr>
              <w:pStyle w:val="SorkznlklCESCI2020"/>
              <w:rPr>
                <w:rFonts w:ascii="Times New Roman" w:hAnsi="Times New Roman"/>
                <w:sz w:val="18"/>
                <w:lang w:val="hr-HR"/>
              </w:rPr>
            </w:pPr>
            <w:r w:rsidRPr="0086186A">
              <w:rPr>
                <w:rFonts w:ascii="Times New Roman" w:hAnsi="Times New Roman"/>
                <w:sz w:val="18"/>
                <w:lang w:val="hr-HR"/>
              </w:rPr>
              <w:t xml:space="preserve">PA 1a </w:t>
            </w:r>
            <w:r w:rsidR="009E554E" w:rsidRPr="0086186A">
              <w:rPr>
                <w:rFonts w:ascii="Times New Roman" w:hAnsi="Times New Roman"/>
                <w:sz w:val="18"/>
                <w:lang w:val="hr-HR"/>
              </w:rPr>
              <w:t>Mobilnost vodnih putova</w:t>
            </w:r>
          </w:p>
        </w:tc>
        <w:tc>
          <w:tcPr>
            <w:tcW w:w="1421" w:type="dxa"/>
            <w:shd w:val="clear" w:color="auto" w:fill="auto"/>
            <w:vAlign w:val="center"/>
            <w:hideMark/>
          </w:tcPr>
          <w:p w14:paraId="61D178D7" w14:textId="77777777" w:rsidR="00D759E1" w:rsidRPr="0086186A" w:rsidRDefault="00D759E1" w:rsidP="004C1C77">
            <w:pPr>
              <w:pStyle w:val="SorkznlklCESCI2020"/>
              <w:jc w:val="center"/>
              <w:rPr>
                <w:rFonts w:ascii="Times New Roman" w:hAnsi="Times New Roman"/>
                <w:sz w:val="18"/>
                <w:lang w:val="hr-HR"/>
              </w:rPr>
            </w:pPr>
          </w:p>
        </w:tc>
        <w:tc>
          <w:tcPr>
            <w:tcW w:w="1148" w:type="dxa"/>
            <w:shd w:val="clear" w:color="auto" w:fill="auto"/>
          </w:tcPr>
          <w:p w14:paraId="33BCBD51" w14:textId="77777777" w:rsidR="00D759E1" w:rsidRPr="0086186A" w:rsidRDefault="00D759E1" w:rsidP="004C1C77">
            <w:pPr>
              <w:pStyle w:val="SorkznlklCESCI2020"/>
              <w:jc w:val="center"/>
              <w:rPr>
                <w:rFonts w:ascii="Times New Roman" w:hAnsi="Times New Roman"/>
                <w:sz w:val="18"/>
                <w:lang w:val="hr-HR"/>
              </w:rPr>
            </w:pPr>
          </w:p>
        </w:tc>
        <w:tc>
          <w:tcPr>
            <w:tcW w:w="1318" w:type="dxa"/>
            <w:shd w:val="clear" w:color="auto" w:fill="auto"/>
            <w:vAlign w:val="center"/>
            <w:hideMark/>
          </w:tcPr>
          <w:p w14:paraId="3C15C572" w14:textId="743516E8" w:rsidR="00D759E1" w:rsidRPr="0086186A" w:rsidRDefault="00D759E1" w:rsidP="004C1C77">
            <w:pPr>
              <w:pStyle w:val="SorkznlklCESCI2020"/>
              <w:jc w:val="center"/>
              <w:rPr>
                <w:rFonts w:ascii="Times New Roman" w:hAnsi="Times New Roman"/>
                <w:sz w:val="18"/>
                <w:lang w:val="hr-HR"/>
              </w:rPr>
            </w:pPr>
          </w:p>
        </w:tc>
        <w:tc>
          <w:tcPr>
            <w:tcW w:w="1288" w:type="dxa"/>
            <w:shd w:val="clear" w:color="auto" w:fill="auto"/>
            <w:vAlign w:val="center"/>
            <w:hideMark/>
          </w:tcPr>
          <w:p w14:paraId="2A446B20" w14:textId="42364468" w:rsidR="00D759E1" w:rsidRPr="0086186A" w:rsidRDefault="00AB6928" w:rsidP="004C1C77">
            <w:pPr>
              <w:pStyle w:val="SorkznlklCESCI2020"/>
              <w:jc w:val="center"/>
              <w:rPr>
                <w:rFonts w:ascii="Times New Roman" w:hAnsi="Times New Roman"/>
                <w:sz w:val="18"/>
                <w:lang w:val="hr-HR"/>
              </w:rPr>
            </w:pPr>
            <w:r w:rsidRPr="0086186A">
              <w:rPr>
                <w:rFonts w:ascii="Times New Roman" w:hAnsi="Times New Roman"/>
                <w:sz w:val="18"/>
                <w:lang w:val="hr-HR"/>
              </w:rPr>
              <w:t>+</w:t>
            </w:r>
          </w:p>
        </w:tc>
        <w:tc>
          <w:tcPr>
            <w:tcW w:w="1289" w:type="dxa"/>
            <w:shd w:val="clear" w:color="auto" w:fill="auto"/>
            <w:vAlign w:val="center"/>
            <w:hideMark/>
          </w:tcPr>
          <w:p w14:paraId="1DCE73C2" w14:textId="77777777" w:rsidR="00D759E1" w:rsidRPr="0086186A" w:rsidRDefault="00D759E1" w:rsidP="004C1C77">
            <w:pPr>
              <w:pStyle w:val="SorkznlklCESCI2020"/>
              <w:jc w:val="center"/>
              <w:rPr>
                <w:rFonts w:ascii="Times New Roman" w:hAnsi="Times New Roman"/>
                <w:sz w:val="18"/>
                <w:lang w:val="hr-HR"/>
              </w:rPr>
            </w:pPr>
          </w:p>
        </w:tc>
        <w:tc>
          <w:tcPr>
            <w:tcW w:w="1249" w:type="dxa"/>
            <w:shd w:val="clear" w:color="auto" w:fill="auto"/>
            <w:vAlign w:val="center"/>
            <w:hideMark/>
          </w:tcPr>
          <w:p w14:paraId="143B97BF" w14:textId="77777777" w:rsidR="00D759E1" w:rsidRPr="0086186A" w:rsidRDefault="00D759E1" w:rsidP="004C1C77">
            <w:pPr>
              <w:pStyle w:val="SorkznlklCESCI2020"/>
              <w:jc w:val="center"/>
              <w:rPr>
                <w:rFonts w:ascii="Times New Roman" w:hAnsi="Times New Roman"/>
                <w:sz w:val="18"/>
                <w:lang w:val="hr-HR"/>
              </w:rPr>
            </w:pPr>
          </w:p>
        </w:tc>
      </w:tr>
      <w:tr w:rsidR="00D759E1" w:rsidRPr="0086186A" w14:paraId="599DC7CC" w14:textId="77777777" w:rsidTr="002A60D3">
        <w:trPr>
          <w:trHeight w:val="480"/>
          <w:jc w:val="center"/>
        </w:trPr>
        <w:tc>
          <w:tcPr>
            <w:tcW w:w="1537" w:type="dxa"/>
            <w:shd w:val="clear" w:color="auto" w:fill="auto"/>
            <w:vAlign w:val="center"/>
            <w:hideMark/>
          </w:tcPr>
          <w:p w14:paraId="397EB991" w14:textId="4AE02F04" w:rsidR="00D759E1" w:rsidRPr="0086186A" w:rsidRDefault="00D759E1" w:rsidP="004C1C77">
            <w:pPr>
              <w:pStyle w:val="SorkznlklCESCI2020"/>
              <w:rPr>
                <w:rFonts w:ascii="Times New Roman" w:hAnsi="Times New Roman"/>
                <w:sz w:val="18"/>
                <w:lang w:val="hr-HR"/>
              </w:rPr>
            </w:pPr>
            <w:r w:rsidRPr="0086186A">
              <w:rPr>
                <w:rFonts w:ascii="Times New Roman" w:hAnsi="Times New Roman"/>
                <w:sz w:val="18"/>
                <w:lang w:val="hr-HR"/>
              </w:rPr>
              <w:t xml:space="preserve">PA 1b </w:t>
            </w:r>
            <w:r w:rsidR="009E554E" w:rsidRPr="0086186A">
              <w:rPr>
                <w:rFonts w:ascii="Times New Roman" w:hAnsi="Times New Roman"/>
                <w:sz w:val="18"/>
                <w:lang w:val="hr-HR"/>
              </w:rPr>
              <w:t>Mobilnost željeznica-cesta-zrak</w:t>
            </w:r>
          </w:p>
        </w:tc>
        <w:tc>
          <w:tcPr>
            <w:tcW w:w="1421" w:type="dxa"/>
            <w:shd w:val="clear" w:color="auto" w:fill="auto"/>
            <w:vAlign w:val="center"/>
            <w:hideMark/>
          </w:tcPr>
          <w:p w14:paraId="4DA1B309" w14:textId="77777777" w:rsidR="00D759E1" w:rsidRPr="0086186A" w:rsidRDefault="00D759E1" w:rsidP="004C1C77">
            <w:pPr>
              <w:pStyle w:val="SorkznlklCESCI2020"/>
              <w:jc w:val="center"/>
              <w:rPr>
                <w:rFonts w:ascii="Times New Roman" w:hAnsi="Times New Roman"/>
                <w:sz w:val="18"/>
                <w:lang w:val="hr-HR"/>
              </w:rPr>
            </w:pPr>
          </w:p>
        </w:tc>
        <w:tc>
          <w:tcPr>
            <w:tcW w:w="1148" w:type="dxa"/>
            <w:shd w:val="clear" w:color="auto" w:fill="auto"/>
          </w:tcPr>
          <w:p w14:paraId="1E2E0185" w14:textId="77777777" w:rsidR="00D759E1" w:rsidRPr="0086186A" w:rsidRDefault="00D759E1" w:rsidP="004C1C77">
            <w:pPr>
              <w:pStyle w:val="SorkznlklCESCI2020"/>
              <w:jc w:val="center"/>
              <w:rPr>
                <w:rFonts w:ascii="Times New Roman" w:hAnsi="Times New Roman"/>
                <w:sz w:val="18"/>
                <w:lang w:val="hr-HR"/>
              </w:rPr>
            </w:pPr>
          </w:p>
        </w:tc>
        <w:tc>
          <w:tcPr>
            <w:tcW w:w="1318" w:type="dxa"/>
            <w:shd w:val="clear" w:color="auto" w:fill="auto"/>
            <w:vAlign w:val="center"/>
            <w:hideMark/>
          </w:tcPr>
          <w:p w14:paraId="4F5E456C" w14:textId="6AB789CA" w:rsidR="00D759E1" w:rsidRPr="0086186A" w:rsidRDefault="00D759E1" w:rsidP="004C1C77">
            <w:pPr>
              <w:pStyle w:val="SorkznlklCESCI2020"/>
              <w:jc w:val="center"/>
              <w:rPr>
                <w:rFonts w:ascii="Times New Roman" w:hAnsi="Times New Roman"/>
                <w:sz w:val="18"/>
                <w:lang w:val="hr-HR"/>
              </w:rPr>
            </w:pPr>
          </w:p>
        </w:tc>
        <w:tc>
          <w:tcPr>
            <w:tcW w:w="1288" w:type="dxa"/>
            <w:shd w:val="clear" w:color="auto" w:fill="auto"/>
            <w:vAlign w:val="center"/>
            <w:hideMark/>
          </w:tcPr>
          <w:p w14:paraId="6E9A2250" w14:textId="77777777" w:rsidR="00D759E1" w:rsidRPr="0086186A" w:rsidRDefault="00D759E1" w:rsidP="004C1C77">
            <w:pPr>
              <w:pStyle w:val="SorkznlklCESCI2020"/>
              <w:jc w:val="center"/>
              <w:rPr>
                <w:rFonts w:ascii="Times New Roman" w:hAnsi="Times New Roman"/>
                <w:sz w:val="18"/>
                <w:lang w:val="hr-HR"/>
              </w:rPr>
            </w:pPr>
          </w:p>
        </w:tc>
        <w:tc>
          <w:tcPr>
            <w:tcW w:w="1289" w:type="dxa"/>
            <w:shd w:val="clear" w:color="auto" w:fill="auto"/>
            <w:vAlign w:val="center"/>
            <w:hideMark/>
          </w:tcPr>
          <w:p w14:paraId="2A234E5A" w14:textId="77777777" w:rsidR="00D759E1" w:rsidRPr="0086186A" w:rsidRDefault="00D759E1" w:rsidP="004C1C77">
            <w:pPr>
              <w:pStyle w:val="SorkznlklCESCI2020"/>
              <w:jc w:val="center"/>
              <w:rPr>
                <w:rFonts w:ascii="Times New Roman" w:hAnsi="Times New Roman"/>
                <w:sz w:val="18"/>
                <w:lang w:val="hr-HR"/>
              </w:rPr>
            </w:pPr>
          </w:p>
        </w:tc>
        <w:tc>
          <w:tcPr>
            <w:tcW w:w="1249" w:type="dxa"/>
            <w:shd w:val="clear" w:color="auto" w:fill="auto"/>
            <w:vAlign w:val="center"/>
            <w:hideMark/>
          </w:tcPr>
          <w:p w14:paraId="27818CC4" w14:textId="77777777" w:rsidR="00D759E1" w:rsidRPr="0086186A" w:rsidRDefault="00D759E1" w:rsidP="004C1C77">
            <w:pPr>
              <w:pStyle w:val="SorkznlklCESCI2020"/>
              <w:jc w:val="center"/>
              <w:rPr>
                <w:rFonts w:ascii="Times New Roman" w:hAnsi="Times New Roman"/>
                <w:sz w:val="18"/>
                <w:lang w:val="hr-HR"/>
              </w:rPr>
            </w:pPr>
          </w:p>
        </w:tc>
      </w:tr>
      <w:tr w:rsidR="00D759E1" w:rsidRPr="0086186A" w14:paraId="1AE88F4C" w14:textId="77777777" w:rsidTr="002A60D3">
        <w:trPr>
          <w:trHeight w:val="480"/>
          <w:jc w:val="center"/>
        </w:trPr>
        <w:tc>
          <w:tcPr>
            <w:tcW w:w="1537" w:type="dxa"/>
            <w:shd w:val="clear" w:color="auto" w:fill="auto"/>
            <w:vAlign w:val="center"/>
            <w:hideMark/>
          </w:tcPr>
          <w:p w14:paraId="1506CC4E" w14:textId="3D4AFD3C" w:rsidR="00D759E1" w:rsidRPr="0086186A" w:rsidRDefault="00D759E1" w:rsidP="004C1C77">
            <w:pPr>
              <w:pStyle w:val="SorkznlklCESCI2020"/>
              <w:rPr>
                <w:rFonts w:ascii="Times New Roman" w:hAnsi="Times New Roman"/>
                <w:sz w:val="18"/>
                <w:lang w:val="hr-HR"/>
              </w:rPr>
            </w:pPr>
            <w:r w:rsidRPr="0086186A">
              <w:rPr>
                <w:rFonts w:ascii="Times New Roman" w:hAnsi="Times New Roman"/>
                <w:sz w:val="18"/>
                <w:lang w:val="hr-HR"/>
              </w:rPr>
              <w:t xml:space="preserve">PA 2 </w:t>
            </w:r>
            <w:r w:rsidR="009E554E" w:rsidRPr="0086186A">
              <w:rPr>
                <w:rFonts w:ascii="Times New Roman" w:hAnsi="Times New Roman"/>
                <w:sz w:val="18"/>
                <w:lang w:val="hr-HR"/>
              </w:rPr>
              <w:t>Održiva energija</w:t>
            </w:r>
          </w:p>
        </w:tc>
        <w:tc>
          <w:tcPr>
            <w:tcW w:w="1421" w:type="dxa"/>
            <w:shd w:val="clear" w:color="auto" w:fill="auto"/>
            <w:vAlign w:val="center"/>
            <w:hideMark/>
          </w:tcPr>
          <w:p w14:paraId="40D89517" w14:textId="77777777" w:rsidR="00D759E1" w:rsidRPr="0086186A" w:rsidRDefault="00D759E1" w:rsidP="004C1C77">
            <w:pPr>
              <w:pStyle w:val="SorkznlklCESCI2020"/>
              <w:jc w:val="center"/>
              <w:rPr>
                <w:rFonts w:ascii="Times New Roman" w:hAnsi="Times New Roman"/>
                <w:sz w:val="18"/>
                <w:lang w:val="hr-HR"/>
              </w:rPr>
            </w:pPr>
          </w:p>
        </w:tc>
        <w:tc>
          <w:tcPr>
            <w:tcW w:w="1148" w:type="dxa"/>
            <w:shd w:val="clear" w:color="auto" w:fill="auto"/>
            <w:vAlign w:val="center"/>
          </w:tcPr>
          <w:p w14:paraId="3A6D8DE1" w14:textId="7247A67A" w:rsidR="00D759E1" w:rsidRPr="0086186A" w:rsidRDefault="00D759E1" w:rsidP="00D759E1">
            <w:pPr>
              <w:pStyle w:val="SorkznlklCESCI2020"/>
              <w:jc w:val="center"/>
              <w:rPr>
                <w:rFonts w:ascii="Times New Roman" w:hAnsi="Times New Roman"/>
                <w:sz w:val="18"/>
                <w:lang w:val="hr-HR"/>
              </w:rPr>
            </w:pPr>
            <w:r w:rsidRPr="0086186A">
              <w:rPr>
                <w:rFonts w:ascii="Times New Roman" w:hAnsi="Times New Roman"/>
                <w:sz w:val="18"/>
                <w:lang w:val="hr-HR"/>
              </w:rPr>
              <w:t>+</w:t>
            </w:r>
            <w:r w:rsidR="00AB6928" w:rsidRPr="0086186A">
              <w:rPr>
                <w:rFonts w:ascii="Times New Roman" w:hAnsi="Times New Roman"/>
                <w:sz w:val="18"/>
                <w:lang w:val="hr-HR"/>
              </w:rPr>
              <w:t>+</w:t>
            </w:r>
          </w:p>
        </w:tc>
        <w:tc>
          <w:tcPr>
            <w:tcW w:w="1318" w:type="dxa"/>
            <w:shd w:val="clear" w:color="auto" w:fill="auto"/>
            <w:vAlign w:val="center"/>
            <w:hideMark/>
          </w:tcPr>
          <w:p w14:paraId="4FDC7B81" w14:textId="65FD1DCF" w:rsidR="00D759E1" w:rsidRPr="0086186A" w:rsidRDefault="00D759E1" w:rsidP="004C1C77">
            <w:pPr>
              <w:pStyle w:val="SorkznlklCESCI2020"/>
              <w:jc w:val="center"/>
              <w:rPr>
                <w:rFonts w:ascii="Times New Roman" w:hAnsi="Times New Roman"/>
                <w:sz w:val="18"/>
                <w:lang w:val="hr-HR"/>
              </w:rPr>
            </w:pPr>
          </w:p>
        </w:tc>
        <w:tc>
          <w:tcPr>
            <w:tcW w:w="1288" w:type="dxa"/>
            <w:shd w:val="clear" w:color="auto" w:fill="auto"/>
            <w:vAlign w:val="center"/>
            <w:hideMark/>
          </w:tcPr>
          <w:p w14:paraId="587AF022" w14:textId="77777777" w:rsidR="00D759E1" w:rsidRPr="0086186A" w:rsidRDefault="00D759E1" w:rsidP="004C1C77">
            <w:pPr>
              <w:pStyle w:val="SorkznlklCESCI2020"/>
              <w:jc w:val="center"/>
              <w:rPr>
                <w:rFonts w:ascii="Times New Roman" w:hAnsi="Times New Roman"/>
                <w:sz w:val="18"/>
                <w:lang w:val="hr-HR"/>
              </w:rPr>
            </w:pPr>
          </w:p>
        </w:tc>
        <w:tc>
          <w:tcPr>
            <w:tcW w:w="1289" w:type="dxa"/>
            <w:shd w:val="clear" w:color="auto" w:fill="auto"/>
            <w:vAlign w:val="center"/>
            <w:hideMark/>
          </w:tcPr>
          <w:p w14:paraId="7F5B343F" w14:textId="77777777" w:rsidR="00D759E1" w:rsidRPr="0086186A" w:rsidRDefault="00D759E1" w:rsidP="004C1C77">
            <w:pPr>
              <w:pStyle w:val="SorkznlklCESCI2020"/>
              <w:jc w:val="center"/>
              <w:rPr>
                <w:rFonts w:ascii="Times New Roman" w:hAnsi="Times New Roman"/>
                <w:sz w:val="18"/>
                <w:lang w:val="hr-HR"/>
              </w:rPr>
            </w:pPr>
          </w:p>
        </w:tc>
        <w:tc>
          <w:tcPr>
            <w:tcW w:w="1249" w:type="dxa"/>
            <w:shd w:val="clear" w:color="auto" w:fill="auto"/>
            <w:vAlign w:val="center"/>
            <w:hideMark/>
          </w:tcPr>
          <w:p w14:paraId="68F0444E" w14:textId="2DBCAF30" w:rsidR="00D759E1" w:rsidRPr="0086186A" w:rsidRDefault="00D759E1" w:rsidP="004C1C77">
            <w:pPr>
              <w:pStyle w:val="SorkznlklCESCI2020"/>
              <w:jc w:val="center"/>
              <w:rPr>
                <w:rFonts w:ascii="Times New Roman" w:hAnsi="Times New Roman"/>
                <w:b/>
                <w:sz w:val="18"/>
                <w:lang w:val="hr-HR"/>
              </w:rPr>
            </w:pPr>
          </w:p>
        </w:tc>
      </w:tr>
      <w:tr w:rsidR="00D759E1" w:rsidRPr="0086186A" w14:paraId="5590F15E" w14:textId="77777777" w:rsidTr="002A60D3">
        <w:trPr>
          <w:trHeight w:val="720"/>
          <w:jc w:val="center"/>
        </w:trPr>
        <w:tc>
          <w:tcPr>
            <w:tcW w:w="1537" w:type="dxa"/>
            <w:shd w:val="clear" w:color="auto" w:fill="auto"/>
            <w:vAlign w:val="center"/>
            <w:hideMark/>
          </w:tcPr>
          <w:p w14:paraId="66CE1985" w14:textId="50603153" w:rsidR="00D759E1" w:rsidRPr="0086186A" w:rsidRDefault="00D759E1" w:rsidP="004C1C77">
            <w:pPr>
              <w:pStyle w:val="SorkznlklCESCI2020"/>
              <w:rPr>
                <w:rFonts w:ascii="Times New Roman" w:hAnsi="Times New Roman"/>
                <w:sz w:val="18"/>
                <w:lang w:val="hr-HR"/>
              </w:rPr>
            </w:pPr>
            <w:r w:rsidRPr="0086186A">
              <w:rPr>
                <w:rFonts w:ascii="Times New Roman" w:hAnsi="Times New Roman"/>
                <w:sz w:val="18"/>
                <w:lang w:val="hr-HR"/>
              </w:rPr>
              <w:t xml:space="preserve">PA 3 </w:t>
            </w:r>
            <w:r w:rsidR="009E554E" w:rsidRPr="0086186A">
              <w:rPr>
                <w:rFonts w:ascii="Times New Roman" w:hAnsi="Times New Roman"/>
                <w:sz w:val="18"/>
                <w:lang w:val="hr-HR"/>
              </w:rPr>
              <w:t>Kultura i turizam, međuljudski kontakti</w:t>
            </w:r>
          </w:p>
        </w:tc>
        <w:tc>
          <w:tcPr>
            <w:tcW w:w="1421" w:type="dxa"/>
            <w:shd w:val="clear" w:color="auto" w:fill="auto"/>
            <w:vAlign w:val="center"/>
            <w:hideMark/>
          </w:tcPr>
          <w:p w14:paraId="0BB5E507" w14:textId="77777777" w:rsidR="00D759E1" w:rsidRPr="0086186A" w:rsidRDefault="00D759E1" w:rsidP="004C1C77">
            <w:pPr>
              <w:pStyle w:val="SorkznlklCESCI2020"/>
              <w:jc w:val="center"/>
              <w:rPr>
                <w:rFonts w:ascii="Times New Roman" w:hAnsi="Times New Roman"/>
                <w:sz w:val="18"/>
                <w:lang w:val="hr-HR"/>
              </w:rPr>
            </w:pPr>
          </w:p>
        </w:tc>
        <w:tc>
          <w:tcPr>
            <w:tcW w:w="1148" w:type="dxa"/>
            <w:shd w:val="clear" w:color="auto" w:fill="auto"/>
          </w:tcPr>
          <w:p w14:paraId="55E78182" w14:textId="77777777" w:rsidR="00D759E1" w:rsidRPr="0086186A" w:rsidRDefault="00D759E1" w:rsidP="004C1C77">
            <w:pPr>
              <w:pStyle w:val="SorkznlklCESCI2020"/>
              <w:jc w:val="center"/>
              <w:rPr>
                <w:rFonts w:ascii="Times New Roman" w:hAnsi="Times New Roman"/>
                <w:sz w:val="18"/>
                <w:lang w:val="hr-HR"/>
              </w:rPr>
            </w:pPr>
          </w:p>
        </w:tc>
        <w:tc>
          <w:tcPr>
            <w:tcW w:w="1318" w:type="dxa"/>
            <w:shd w:val="clear" w:color="auto" w:fill="auto"/>
            <w:vAlign w:val="center"/>
            <w:hideMark/>
          </w:tcPr>
          <w:p w14:paraId="5C1FEB9F" w14:textId="17E8B7FF" w:rsidR="00D759E1" w:rsidRPr="0086186A" w:rsidRDefault="00D759E1" w:rsidP="004C1C77">
            <w:pPr>
              <w:pStyle w:val="SorkznlklCESCI2020"/>
              <w:jc w:val="center"/>
              <w:rPr>
                <w:rFonts w:ascii="Times New Roman" w:hAnsi="Times New Roman"/>
                <w:sz w:val="18"/>
                <w:lang w:val="hr-HR"/>
              </w:rPr>
            </w:pPr>
          </w:p>
        </w:tc>
        <w:tc>
          <w:tcPr>
            <w:tcW w:w="1288" w:type="dxa"/>
            <w:shd w:val="clear" w:color="auto" w:fill="auto"/>
            <w:vAlign w:val="center"/>
            <w:hideMark/>
          </w:tcPr>
          <w:p w14:paraId="4F9F27CD" w14:textId="10CA6913" w:rsidR="00D759E1" w:rsidRPr="0086186A" w:rsidRDefault="00D759E1" w:rsidP="004C1C77">
            <w:pPr>
              <w:pStyle w:val="SorkznlklCESCI2020"/>
              <w:jc w:val="center"/>
              <w:rPr>
                <w:rFonts w:ascii="Times New Roman" w:hAnsi="Times New Roman"/>
                <w:sz w:val="18"/>
                <w:lang w:val="hr-HR"/>
              </w:rPr>
            </w:pPr>
            <w:r w:rsidRPr="0086186A">
              <w:rPr>
                <w:rFonts w:ascii="Times New Roman" w:hAnsi="Times New Roman"/>
                <w:sz w:val="18"/>
                <w:lang w:val="hr-HR"/>
              </w:rPr>
              <w:t>++</w:t>
            </w:r>
          </w:p>
        </w:tc>
        <w:tc>
          <w:tcPr>
            <w:tcW w:w="1289" w:type="dxa"/>
            <w:shd w:val="clear" w:color="auto" w:fill="auto"/>
            <w:vAlign w:val="center"/>
            <w:hideMark/>
          </w:tcPr>
          <w:p w14:paraId="27C6B2AC" w14:textId="14249E0F" w:rsidR="00D759E1" w:rsidRPr="0086186A" w:rsidRDefault="00D759E1" w:rsidP="004C1C77">
            <w:pPr>
              <w:pStyle w:val="SorkznlklCESCI2020"/>
              <w:jc w:val="center"/>
              <w:rPr>
                <w:rFonts w:ascii="Times New Roman" w:hAnsi="Times New Roman"/>
                <w:b/>
                <w:sz w:val="18"/>
                <w:lang w:val="hr-HR"/>
              </w:rPr>
            </w:pPr>
          </w:p>
        </w:tc>
        <w:tc>
          <w:tcPr>
            <w:tcW w:w="1249" w:type="dxa"/>
            <w:shd w:val="clear" w:color="auto" w:fill="auto"/>
            <w:vAlign w:val="center"/>
            <w:hideMark/>
          </w:tcPr>
          <w:p w14:paraId="0CC14A1A" w14:textId="77777777" w:rsidR="00D759E1" w:rsidRPr="0086186A" w:rsidRDefault="00D759E1" w:rsidP="004C1C77">
            <w:pPr>
              <w:pStyle w:val="SorkznlklCESCI2020"/>
              <w:jc w:val="center"/>
              <w:rPr>
                <w:rFonts w:ascii="Times New Roman" w:hAnsi="Times New Roman"/>
                <w:sz w:val="18"/>
                <w:lang w:val="hr-HR"/>
              </w:rPr>
            </w:pPr>
          </w:p>
        </w:tc>
      </w:tr>
      <w:tr w:rsidR="00D759E1" w:rsidRPr="0086186A" w14:paraId="2EE5B614" w14:textId="77777777" w:rsidTr="002A60D3">
        <w:trPr>
          <w:trHeight w:val="300"/>
          <w:jc w:val="center"/>
        </w:trPr>
        <w:tc>
          <w:tcPr>
            <w:tcW w:w="1537" w:type="dxa"/>
            <w:shd w:val="clear" w:color="auto" w:fill="auto"/>
            <w:vAlign w:val="center"/>
            <w:hideMark/>
          </w:tcPr>
          <w:p w14:paraId="348896C4" w14:textId="53E74735" w:rsidR="00D759E1" w:rsidRPr="0086186A" w:rsidRDefault="00D759E1" w:rsidP="004C1C77">
            <w:pPr>
              <w:pStyle w:val="SorkznlklCESCI2020"/>
              <w:rPr>
                <w:rFonts w:ascii="Times New Roman" w:hAnsi="Times New Roman"/>
                <w:sz w:val="18"/>
                <w:lang w:val="hr-HR"/>
              </w:rPr>
            </w:pPr>
            <w:r w:rsidRPr="0086186A">
              <w:rPr>
                <w:rFonts w:ascii="Times New Roman" w:hAnsi="Times New Roman"/>
                <w:sz w:val="18"/>
                <w:lang w:val="hr-HR"/>
              </w:rPr>
              <w:t xml:space="preserve">PA 4 </w:t>
            </w:r>
            <w:r w:rsidR="00462BF7" w:rsidRPr="0086186A">
              <w:rPr>
                <w:rFonts w:ascii="Times New Roman" w:hAnsi="Times New Roman"/>
                <w:sz w:val="18"/>
                <w:lang w:val="hr-HR"/>
              </w:rPr>
              <w:t>Kvaliteta vode</w:t>
            </w:r>
          </w:p>
        </w:tc>
        <w:tc>
          <w:tcPr>
            <w:tcW w:w="1421" w:type="dxa"/>
            <w:shd w:val="clear" w:color="auto" w:fill="auto"/>
            <w:vAlign w:val="center"/>
            <w:hideMark/>
          </w:tcPr>
          <w:p w14:paraId="770C9B17" w14:textId="77777777" w:rsidR="00D759E1" w:rsidRPr="0086186A" w:rsidRDefault="00D759E1" w:rsidP="004C1C77">
            <w:pPr>
              <w:pStyle w:val="SorkznlklCESCI2020"/>
              <w:jc w:val="center"/>
              <w:rPr>
                <w:rFonts w:ascii="Times New Roman" w:hAnsi="Times New Roman"/>
                <w:sz w:val="18"/>
                <w:lang w:val="hr-HR"/>
              </w:rPr>
            </w:pPr>
          </w:p>
        </w:tc>
        <w:tc>
          <w:tcPr>
            <w:tcW w:w="1148" w:type="dxa"/>
            <w:shd w:val="clear" w:color="auto" w:fill="auto"/>
          </w:tcPr>
          <w:p w14:paraId="620B1E34" w14:textId="77777777" w:rsidR="00D759E1" w:rsidRPr="0086186A" w:rsidRDefault="00D759E1" w:rsidP="004C1C77">
            <w:pPr>
              <w:pStyle w:val="SorkznlklCESCI2020"/>
              <w:jc w:val="center"/>
              <w:rPr>
                <w:rFonts w:ascii="Times New Roman" w:hAnsi="Times New Roman"/>
                <w:b/>
                <w:sz w:val="18"/>
                <w:lang w:val="hr-HR"/>
              </w:rPr>
            </w:pPr>
          </w:p>
        </w:tc>
        <w:tc>
          <w:tcPr>
            <w:tcW w:w="1318" w:type="dxa"/>
            <w:shd w:val="clear" w:color="auto" w:fill="auto"/>
            <w:vAlign w:val="center"/>
            <w:hideMark/>
          </w:tcPr>
          <w:p w14:paraId="39A6C2E8" w14:textId="3A999E5A" w:rsidR="00D759E1" w:rsidRPr="0086186A" w:rsidRDefault="00D759E1" w:rsidP="004C1C77">
            <w:pPr>
              <w:pStyle w:val="SorkznlklCESCI2020"/>
              <w:jc w:val="center"/>
              <w:rPr>
                <w:rFonts w:ascii="Times New Roman" w:hAnsi="Times New Roman"/>
                <w:b/>
                <w:sz w:val="18"/>
                <w:lang w:val="hr-HR"/>
              </w:rPr>
            </w:pPr>
            <w:r w:rsidRPr="0086186A">
              <w:rPr>
                <w:rFonts w:ascii="Times New Roman" w:hAnsi="Times New Roman"/>
                <w:b/>
                <w:sz w:val="18"/>
                <w:lang w:val="hr-HR"/>
              </w:rPr>
              <w:t>+</w:t>
            </w:r>
          </w:p>
        </w:tc>
        <w:tc>
          <w:tcPr>
            <w:tcW w:w="1288" w:type="dxa"/>
            <w:shd w:val="clear" w:color="auto" w:fill="auto"/>
            <w:vAlign w:val="center"/>
            <w:hideMark/>
          </w:tcPr>
          <w:p w14:paraId="4D901A5E" w14:textId="77777777" w:rsidR="00D759E1" w:rsidRPr="0086186A" w:rsidRDefault="00D759E1" w:rsidP="004C1C77">
            <w:pPr>
              <w:pStyle w:val="SorkznlklCESCI2020"/>
              <w:jc w:val="center"/>
              <w:rPr>
                <w:rFonts w:ascii="Times New Roman" w:hAnsi="Times New Roman"/>
                <w:sz w:val="18"/>
                <w:lang w:val="hr-HR"/>
              </w:rPr>
            </w:pPr>
          </w:p>
        </w:tc>
        <w:tc>
          <w:tcPr>
            <w:tcW w:w="1289" w:type="dxa"/>
            <w:shd w:val="clear" w:color="auto" w:fill="auto"/>
            <w:vAlign w:val="center"/>
            <w:hideMark/>
          </w:tcPr>
          <w:p w14:paraId="2C506B0E" w14:textId="77777777" w:rsidR="00D759E1" w:rsidRPr="0086186A" w:rsidRDefault="00D759E1" w:rsidP="004C1C77">
            <w:pPr>
              <w:pStyle w:val="SorkznlklCESCI2020"/>
              <w:jc w:val="center"/>
              <w:rPr>
                <w:rFonts w:ascii="Times New Roman" w:hAnsi="Times New Roman"/>
                <w:sz w:val="18"/>
                <w:lang w:val="hr-HR"/>
              </w:rPr>
            </w:pPr>
          </w:p>
        </w:tc>
        <w:tc>
          <w:tcPr>
            <w:tcW w:w="1249" w:type="dxa"/>
            <w:shd w:val="clear" w:color="auto" w:fill="auto"/>
            <w:vAlign w:val="center"/>
            <w:hideMark/>
          </w:tcPr>
          <w:p w14:paraId="2427C8F0" w14:textId="77777777" w:rsidR="00D759E1" w:rsidRPr="0086186A" w:rsidRDefault="00D759E1" w:rsidP="004C1C77">
            <w:pPr>
              <w:pStyle w:val="SorkznlklCESCI2020"/>
              <w:jc w:val="center"/>
              <w:rPr>
                <w:rFonts w:ascii="Times New Roman" w:hAnsi="Times New Roman"/>
                <w:sz w:val="18"/>
                <w:lang w:val="hr-HR"/>
              </w:rPr>
            </w:pPr>
          </w:p>
        </w:tc>
      </w:tr>
      <w:tr w:rsidR="00D759E1" w:rsidRPr="0086186A" w14:paraId="22399B51" w14:textId="77777777" w:rsidTr="002A60D3">
        <w:trPr>
          <w:trHeight w:val="480"/>
          <w:jc w:val="center"/>
        </w:trPr>
        <w:tc>
          <w:tcPr>
            <w:tcW w:w="1537" w:type="dxa"/>
            <w:shd w:val="clear" w:color="auto" w:fill="auto"/>
            <w:vAlign w:val="center"/>
            <w:hideMark/>
          </w:tcPr>
          <w:p w14:paraId="3D86E4E6" w14:textId="6E870D8A" w:rsidR="00D759E1" w:rsidRPr="0086186A" w:rsidRDefault="00D759E1" w:rsidP="004C1C77">
            <w:pPr>
              <w:pStyle w:val="SorkznlklCESCI2020"/>
              <w:rPr>
                <w:rFonts w:ascii="Times New Roman" w:hAnsi="Times New Roman"/>
                <w:sz w:val="18"/>
                <w:lang w:val="hr-HR"/>
              </w:rPr>
            </w:pPr>
            <w:r w:rsidRPr="0086186A">
              <w:rPr>
                <w:rFonts w:ascii="Times New Roman" w:hAnsi="Times New Roman"/>
                <w:sz w:val="18"/>
                <w:lang w:val="hr-HR"/>
              </w:rPr>
              <w:t xml:space="preserve">PA 5 </w:t>
            </w:r>
            <w:r w:rsidR="00462BF7" w:rsidRPr="0086186A">
              <w:rPr>
                <w:rFonts w:ascii="Times New Roman" w:hAnsi="Times New Roman"/>
                <w:sz w:val="18"/>
                <w:lang w:val="hr-HR"/>
              </w:rPr>
              <w:t>Ekološki rizici</w:t>
            </w:r>
          </w:p>
        </w:tc>
        <w:tc>
          <w:tcPr>
            <w:tcW w:w="1421" w:type="dxa"/>
            <w:shd w:val="clear" w:color="auto" w:fill="auto"/>
            <w:vAlign w:val="center"/>
            <w:hideMark/>
          </w:tcPr>
          <w:p w14:paraId="7B0817E7" w14:textId="5BD07339" w:rsidR="00D759E1" w:rsidRPr="0086186A" w:rsidRDefault="00D759E1" w:rsidP="004C1C77">
            <w:pPr>
              <w:pStyle w:val="SorkznlklCESCI2020"/>
              <w:jc w:val="center"/>
              <w:rPr>
                <w:rFonts w:ascii="Times New Roman" w:hAnsi="Times New Roman"/>
                <w:b/>
                <w:sz w:val="18"/>
                <w:lang w:val="hr-HR"/>
              </w:rPr>
            </w:pPr>
          </w:p>
        </w:tc>
        <w:tc>
          <w:tcPr>
            <w:tcW w:w="1148" w:type="dxa"/>
            <w:shd w:val="clear" w:color="auto" w:fill="auto"/>
            <w:vAlign w:val="center"/>
          </w:tcPr>
          <w:p w14:paraId="162B5F3A" w14:textId="589F9FCA" w:rsidR="00D759E1" w:rsidRPr="0086186A" w:rsidRDefault="00AB6928" w:rsidP="00AB6928">
            <w:pPr>
              <w:pStyle w:val="SorkznlklCESCI2020"/>
              <w:jc w:val="center"/>
              <w:rPr>
                <w:rFonts w:ascii="Times New Roman" w:hAnsi="Times New Roman"/>
                <w:sz w:val="18"/>
                <w:lang w:val="hr-HR"/>
              </w:rPr>
            </w:pPr>
            <w:r w:rsidRPr="0086186A">
              <w:rPr>
                <w:rFonts w:ascii="Times New Roman" w:hAnsi="Times New Roman"/>
                <w:sz w:val="18"/>
                <w:lang w:val="hr-HR"/>
              </w:rPr>
              <w:t>+</w:t>
            </w:r>
          </w:p>
        </w:tc>
        <w:tc>
          <w:tcPr>
            <w:tcW w:w="1318" w:type="dxa"/>
            <w:shd w:val="clear" w:color="auto" w:fill="auto"/>
            <w:vAlign w:val="center"/>
            <w:hideMark/>
          </w:tcPr>
          <w:p w14:paraId="0089FCA5" w14:textId="5F929A03" w:rsidR="00D759E1" w:rsidRPr="0086186A" w:rsidRDefault="00D759E1" w:rsidP="004C1C77">
            <w:pPr>
              <w:pStyle w:val="SorkznlklCESCI2020"/>
              <w:jc w:val="center"/>
              <w:rPr>
                <w:rFonts w:ascii="Times New Roman" w:hAnsi="Times New Roman"/>
                <w:sz w:val="18"/>
                <w:lang w:val="hr-HR"/>
              </w:rPr>
            </w:pPr>
            <w:r w:rsidRPr="0086186A">
              <w:rPr>
                <w:rFonts w:ascii="Times New Roman" w:hAnsi="Times New Roman"/>
                <w:sz w:val="18"/>
                <w:lang w:val="hr-HR"/>
              </w:rPr>
              <w:t>++</w:t>
            </w:r>
          </w:p>
        </w:tc>
        <w:tc>
          <w:tcPr>
            <w:tcW w:w="1288" w:type="dxa"/>
            <w:shd w:val="clear" w:color="auto" w:fill="auto"/>
            <w:vAlign w:val="center"/>
            <w:hideMark/>
          </w:tcPr>
          <w:p w14:paraId="48AE0601" w14:textId="77777777" w:rsidR="00D759E1" w:rsidRPr="0086186A" w:rsidRDefault="00D759E1" w:rsidP="004C1C77">
            <w:pPr>
              <w:pStyle w:val="SorkznlklCESCI2020"/>
              <w:jc w:val="center"/>
              <w:rPr>
                <w:rFonts w:ascii="Times New Roman" w:hAnsi="Times New Roman"/>
                <w:sz w:val="18"/>
                <w:lang w:val="hr-HR"/>
              </w:rPr>
            </w:pPr>
          </w:p>
        </w:tc>
        <w:tc>
          <w:tcPr>
            <w:tcW w:w="1289" w:type="dxa"/>
            <w:shd w:val="clear" w:color="auto" w:fill="auto"/>
            <w:vAlign w:val="center"/>
            <w:hideMark/>
          </w:tcPr>
          <w:p w14:paraId="572939D1" w14:textId="77777777" w:rsidR="00D759E1" w:rsidRPr="0086186A" w:rsidRDefault="00D759E1" w:rsidP="004C1C77">
            <w:pPr>
              <w:pStyle w:val="SorkznlklCESCI2020"/>
              <w:jc w:val="center"/>
              <w:rPr>
                <w:rFonts w:ascii="Times New Roman" w:hAnsi="Times New Roman"/>
                <w:sz w:val="18"/>
                <w:lang w:val="hr-HR"/>
              </w:rPr>
            </w:pPr>
          </w:p>
        </w:tc>
        <w:tc>
          <w:tcPr>
            <w:tcW w:w="1249" w:type="dxa"/>
            <w:shd w:val="clear" w:color="auto" w:fill="auto"/>
            <w:vAlign w:val="center"/>
            <w:hideMark/>
          </w:tcPr>
          <w:p w14:paraId="639BE9FB" w14:textId="77777777" w:rsidR="00D759E1" w:rsidRPr="0086186A" w:rsidRDefault="00D759E1" w:rsidP="004C1C77">
            <w:pPr>
              <w:pStyle w:val="SorkznlklCESCI2020"/>
              <w:jc w:val="center"/>
              <w:rPr>
                <w:rFonts w:ascii="Times New Roman" w:hAnsi="Times New Roman"/>
                <w:sz w:val="18"/>
                <w:lang w:val="hr-HR"/>
              </w:rPr>
            </w:pPr>
          </w:p>
        </w:tc>
      </w:tr>
      <w:tr w:rsidR="00D759E1" w:rsidRPr="0086186A" w14:paraId="13FE0ABA" w14:textId="77777777" w:rsidTr="002A60D3">
        <w:trPr>
          <w:trHeight w:val="960"/>
          <w:jc w:val="center"/>
        </w:trPr>
        <w:tc>
          <w:tcPr>
            <w:tcW w:w="1537" w:type="dxa"/>
            <w:shd w:val="clear" w:color="auto" w:fill="auto"/>
            <w:vAlign w:val="center"/>
            <w:hideMark/>
          </w:tcPr>
          <w:p w14:paraId="24732F83" w14:textId="3C83F7D7" w:rsidR="00462BF7" w:rsidRPr="0086186A" w:rsidRDefault="00D759E1" w:rsidP="004C1C77">
            <w:pPr>
              <w:pStyle w:val="SorkznlklCESCI2020"/>
              <w:rPr>
                <w:rFonts w:ascii="Times New Roman" w:hAnsi="Times New Roman"/>
                <w:sz w:val="18"/>
                <w:lang w:val="hr-HR"/>
              </w:rPr>
            </w:pPr>
            <w:r w:rsidRPr="0086186A">
              <w:rPr>
                <w:rFonts w:ascii="Times New Roman" w:hAnsi="Times New Roman"/>
                <w:sz w:val="18"/>
                <w:lang w:val="hr-HR"/>
              </w:rPr>
              <w:t xml:space="preserve">PA 6 </w:t>
            </w:r>
            <w:r w:rsidR="00462BF7" w:rsidRPr="0086186A">
              <w:rPr>
                <w:rFonts w:ascii="Times New Roman" w:hAnsi="Times New Roman"/>
                <w:sz w:val="18"/>
                <w:lang w:val="hr-HR"/>
              </w:rPr>
              <w:t>Biološka raznolikost i krajobrazi, kvaliteta zraka i tala</w:t>
            </w:r>
          </w:p>
          <w:p w14:paraId="1708485F" w14:textId="2DC7CD52" w:rsidR="00D759E1" w:rsidRPr="0086186A" w:rsidRDefault="00D759E1" w:rsidP="004C1C77">
            <w:pPr>
              <w:pStyle w:val="SorkznlklCESCI2020"/>
              <w:rPr>
                <w:rFonts w:ascii="Times New Roman" w:hAnsi="Times New Roman"/>
                <w:sz w:val="18"/>
                <w:lang w:val="hr-HR"/>
              </w:rPr>
            </w:pPr>
          </w:p>
        </w:tc>
        <w:tc>
          <w:tcPr>
            <w:tcW w:w="1421" w:type="dxa"/>
            <w:shd w:val="clear" w:color="auto" w:fill="auto"/>
            <w:vAlign w:val="center"/>
            <w:hideMark/>
          </w:tcPr>
          <w:p w14:paraId="33CD251A" w14:textId="77777777" w:rsidR="00D759E1" w:rsidRPr="0086186A" w:rsidRDefault="00D759E1" w:rsidP="004C1C77">
            <w:pPr>
              <w:pStyle w:val="SorkznlklCESCI2020"/>
              <w:jc w:val="center"/>
              <w:rPr>
                <w:rFonts w:ascii="Times New Roman" w:hAnsi="Times New Roman"/>
                <w:sz w:val="18"/>
                <w:lang w:val="hr-HR"/>
              </w:rPr>
            </w:pPr>
          </w:p>
        </w:tc>
        <w:tc>
          <w:tcPr>
            <w:tcW w:w="1148" w:type="dxa"/>
            <w:shd w:val="clear" w:color="auto" w:fill="auto"/>
            <w:vAlign w:val="center"/>
          </w:tcPr>
          <w:p w14:paraId="6D5CF29D" w14:textId="64450A5D" w:rsidR="00D759E1" w:rsidRPr="0086186A" w:rsidRDefault="00AB6928" w:rsidP="00AB6928">
            <w:pPr>
              <w:pStyle w:val="SorkznlklCESCI2020"/>
              <w:jc w:val="center"/>
              <w:rPr>
                <w:rFonts w:ascii="Times New Roman" w:hAnsi="Times New Roman"/>
                <w:b/>
                <w:sz w:val="18"/>
                <w:lang w:val="hr-HR"/>
              </w:rPr>
            </w:pPr>
            <w:r w:rsidRPr="0086186A">
              <w:rPr>
                <w:rFonts w:ascii="Times New Roman" w:hAnsi="Times New Roman"/>
                <w:b/>
                <w:sz w:val="18"/>
                <w:lang w:val="hr-HR"/>
              </w:rPr>
              <w:t>+</w:t>
            </w:r>
          </w:p>
        </w:tc>
        <w:tc>
          <w:tcPr>
            <w:tcW w:w="1318" w:type="dxa"/>
            <w:shd w:val="clear" w:color="auto" w:fill="auto"/>
            <w:vAlign w:val="center"/>
            <w:hideMark/>
          </w:tcPr>
          <w:p w14:paraId="60151FF3" w14:textId="18F0EA65" w:rsidR="00D759E1" w:rsidRPr="0086186A" w:rsidRDefault="00D759E1" w:rsidP="004C1C77">
            <w:pPr>
              <w:pStyle w:val="SorkznlklCESCI2020"/>
              <w:jc w:val="center"/>
              <w:rPr>
                <w:rFonts w:ascii="Times New Roman" w:hAnsi="Times New Roman"/>
                <w:b/>
                <w:sz w:val="18"/>
                <w:lang w:val="hr-HR"/>
              </w:rPr>
            </w:pPr>
            <w:r w:rsidRPr="0086186A">
              <w:rPr>
                <w:rFonts w:ascii="Times New Roman" w:hAnsi="Times New Roman"/>
                <w:b/>
                <w:sz w:val="18"/>
                <w:lang w:val="hr-HR"/>
              </w:rPr>
              <w:t>++</w:t>
            </w:r>
          </w:p>
        </w:tc>
        <w:tc>
          <w:tcPr>
            <w:tcW w:w="1288" w:type="dxa"/>
            <w:shd w:val="clear" w:color="auto" w:fill="auto"/>
            <w:vAlign w:val="center"/>
            <w:hideMark/>
          </w:tcPr>
          <w:p w14:paraId="25778E63" w14:textId="77777777" w:rsidR="00D759E1" w:rsidRPr="0086186A" w:rsidRDefault="00D759E1" w:rsidP="004C1C77">
            <w:pPr>
              <w:pStyle w:val="SorkznlklCESCI2020"/>
              <w:jc w:val="center"/>
              <w:rPr>
                <w:rFonts w:ascii="Times New Roman" w:hAnsi="Times New Roman"/>
                <w:sz w:val="18"/>
                <w:lang w:val="hr-HR"/>
              </w:rPr>
            </w:pPr>
          </w:p>
        </w:tc>
        <w:tc>
          <w:tcPr>
            <w:tcW w:w="1289" w:type="dxa"/>
            <w:shd w:val="clear" w:color="auto" w:fill="auto"/>
            <w:vAlign w:val="center"/>
            <w:hideMark/>
          </w:tcPr>
          <w:p w14:paraId="769E2F06" w14:textId="77777777" w:rsidR="00D759E1" w:rsidRPr="0086186A" w:rsidRDefault="00D759E1" w:rsidP="004C1C77">
            <w:pPr>
              <w:pStyle w:val="SorkznlklCESCI2020"/>
              <w:jc w:val="center"/>
              <w:rPr>
                <w:rFonts w:ascii="Times New Roman" w:hAnsi="Times New Roman"/>
                <w:sz w:val="18"/>
                <w:lang w:val="hr-HR"/>
              </w:rPr>
            </w:pPr>
          </w:p>
        </w:tc>
        <w:tc>
          <w:tcPr>
            <w:tcW w:w="1249" w:type="dxa"/>
            <w:shd w:val="clear" w:color="auto" w:fill="auto"/>
            <w:vAlign w:val="center"/>
            <w:hideMark/>
          </w:tcPr>
          <w:p w14:paraId="2D7EE8D3" w14:textId="77777777" w:rsidR="00D759E1" w:rsidRPr="0086186A" w:rsidRDefault="00D759E1" w:rsidP="004C1C77">
            <w:pPr>
              <w:pStyle w:val="SorkznlklCESCI2020"/>
              <w:jc w:val="center"/>
              <w:rPr>
                <w:rFonts w:ascii="Times New Roman" w:hAnsi="Times New Roman"/>
                <w:sz w:val="18"/>
                <w:lang w:val="hr-HR"/>
              </w:rPr>
            </w:pPr>
          </w:p>
        </w:tc>
      </w:tr>
      <w:tr w:rsidR="00D759E1" w:rsidRPr="0086186A" w14:paraId="3322B679" w14:textId="77777777" w:rsidTr="002A60D3">
        <w:trPr>
          <w:trHeight w:val="480"/>
          <w:jc w:val="center"/>
        </w:trPr>
        <w:tc>
          <w:tcPr>
            <w:tcW w:w="1537" w:type="dxa"/>
            <w:shd w:val="clear" w:color="auto" w:fill="auto"/>
            <w:vAlign w:val="center"/>
            <w:hideMark/>
          </w:tcPr>
          <w:p w14:paraId="13EE41A3" w14:textId="074E1B11" w:rsidR="00D759E1" w:rsidRPr="0086186A" w:rsidRDefault="00D759E1" w:rsidP="004C1C77">
            <w:pPr>
              <w:pStyle w:val="SorkznlklCESCI2020"/>
              <w:rPr>
                <w:rFonts w:ascii="Times New Roman" w:hAnsi="Times New Roman"/>
                <w:sz w:val="18"/>
                <w:lang w:val="hr-HR"/>
              </w:rPr>
            </w:pPr>
            <w:r w:rsidRPr="0086186A">
              <w:rPr>
                <w:rFonts w:ascii="Times New Roman" w:hAnsi="Times New Roman"/>
                <w:sz w:val="18"/>
                <w:lang w:val="hr-HR"/>
              </w:rPr>
              <w:t xml:space="preserve">PA 7 </w:t>
            </w:r>
            <w:r w:rsidR="00462BF7" w:rsidRPr="0086186A">
              <w:rPr>
                <w:rFonts w:ascii="Times New Roman" w:hAnsi="Times New Roman"/>
                <w:sz w:val="18"/>
                <w:lang w:val="hr-HR"/>
              </w:rPr>
              <w:t>Društvo znanja</w:t>
            </w:r>
          </w:p>
        </w:tc>
        <w:tc>
          <w:tcPr>
            <w:tcW w:w="1421" w:type="dxa"/>
            <w:shd w:val="clear" w:color="auto" w:fill="auto"/>
            <w:vAlign w:val="center"/>
            <w:hideMark/>
          </w:tcPr>
          <w:p w14:paraId="3658C94E" w14:textId="01999CB5" w:rsidR="00D759E1" w:rsidRPr="0086186A" w:rsidRDefault="00D759E1" w:rsidP="004C1C77">
            <w:pPr>
              <w:pStyle w:val="SorkznlklCESCI2020"/>
              <w:jc w:val="center"/>
              <w:rPr>
                <w:rFonts w:ascii="Times New Roman" w:hAnsi="Times New Roman"/>
                <w:sz w:val="18"/>
                <w:lang w:val="hr-HR"/>
              </w:rPr>
            </w:pPr>
            <w:r w:rsidRPr="0086186A">
              <w:rPr>
                <w:rFonts w:ascii="Times New Roman" w:hAnsi="Times New Roman"/>
                <w:sz w:val="18"/>
                <w:lang w:val="hr-HR"/>
              </w:rPr>
              <w:t>+</w:t>
            </w:r>
          </w:p>
        </w:tc>
        <w:tc>
          <w:tcPr>
            <w:tcW w:w="1148" w:type="dxa"/>
            <w:shd w:val="clear" w:color="auto" w:fill="auto"/>
          </w:tcPr>
          <w:p w14:paraId="6D7F091D" w14:textId="77777777" w:rsidR="00D759E1" w:rsidRPr="0086186A" w:rsidRDefault="00D759E1" w:rsidP="004C1C77">
            <w:pPr>
              <w:pStyle w:val="SorkznlklCESCI2020"/>
              <w:jc w:val="center"/>
              <w:rPr>
                <w:rFonts w:ascii="Times New Roman" w:hAnsi="Times New Roman"/>
                <w:sz w:val="18"/>
                <w:lang w:val="hr-HR"/>
              </w:rPr>
            </w:pPr>
          </w:p>
        </w:tc>
        <w:tc>
          <w:tcPr>
            <w:tcW w:w="1318" w:type="dxa"/>
            <w:shd w:val="clear" w:color="auto" w:fill="auto"/>
            <w:vAlign w:val="center"/>
            <w:hideMark/>
          </w:tcPr>
          <w:p w14:paraId="072F8CEE" w14:textId="21D46DA5" w:rsidR="00D759E1" w:rsidRPr="0086186A" w:rsidRDefault="00D759E1" w:rsidP="004C1C77">
            <w:pPr>
              <w:pStyle w:val="SorkznlklCESCI2020"/>
              <w:jc w:val="center"/>
              <w:rPr>
                <w:rFonts w:ascii="Times New Roman" w:hAnsi="Times New Roman"/>
                <w:sz w:val="18"/>
                <w:lang w:val="hr-HR"/>
              </w:rPr>
            </w:pPr>
          </w:p>
        </w:tc>
        <w:tc>
          <w:tcPr>
            <w:tcW w:w="1288" w:type="dxa"/>
            <w:shd w:val="clear" w:color="auto" w:fill="auto"/>
            <w:vAlign w:val="center"/>
            <w:hideMark/>
          </w:tcPr>
          <w:p w14:paraId="463E46E6" w14:textId="77777777" w:rsidR="00D759E1" w:rsidRPr="0086186A" w:rsidRDefault="00D759E1" w:rsidP="004C1C77">
            <w:pPr>
              <w:pStyle w:val="SorkznlklCESCI2020"/>
              <w:jc w:val="center"/>
              <w:rPr>
                <w:rFonts w:ascii="Times New Roman" w:hAnsi="Times New Roman"/>
                <w:sz w:val="18"/>
                <w:lang w:val="hr-HR"/>
              </w:rPr>
            </w:pPr>
          </w:p>
        </w:tc>
        <w:tc>
          <w:tcPr>
            <w:tcW w:w="1289" w:type="dxa"/>
            <w:shd w:val="clear" w:color="auto" w:fill="auto"/>
            <w:vAlign w:val="center"/>
            <w:hideMark/>
          </w:tcPr>
          <w:p w14:paraId="5E32C77C" w14:textId="77777777" w:rsidR="00D759E1" w:rsidRPr="0086186A" w:rsidRDefault="00D759E1" w:rsidP="004C1C77">
            <w:pPr>
              <w:pStyle w:val="SorkznlklCESCI2020"/>
              <w:jc w:val="center"/>
              <w:rPr>
                <w:rFonts w:ascii="Times New Roman" w:hAnsi="Times New Roman"/>
                <w:sz w:val="18"/>
                <w:lang w:val="hr-HR"/>
              </w:rPr>
            </w:pPr>
          </w:p>
        </w:tc>
        <w:tc>
          <w:tcPr>
            <w:tcW w:w="1249" w:type="dxa"/>
            <w:shd w:val="clear" w:color="auto" w:fill="auto"/>
            <w:vAlign w:val="center"/>
            <w:hideMark/>
          </w:tcPr>
          <w:p w14:paraId="5D1BC965" w14:textId="6371976B" w:rsidR="00D759E1" w:rsidRPr="0086186A" w:rsidRDefault="00AB6928" w:rsidP="004C1C77">
            <w:pPr>
              <w:pStyle w:val="SorkznlklCESCI2020"/>
              <w:jc w:val="center"/>
              <w:rPr>
                <w:rFonts w:ascii="Times New Roman" w:hAnsi="Times New Roman"/>
                <w:sz w:val="18"/>
                <w:lang w:val="hr-HR"/>
              </w:rPr>
            </w:pPr>
            <w:r w:rsidRPr="0086186A">
              <w:rPr>
                <w:rFonts w:ascii="Times New Roman" w:hAnsi="Times New Roman"/>
                <w:sz w:val="18"/>
                <w:lang w:val="hr-HR"/>
              </w:rPr>
              <w:t>+</w:t>
            </w:r>
          </w:p>
        </w:tc>
      </w:tr>
      <w:tr w:rsidR="00D759E1" w:rsidRPr="0086186A" w14:paraId="34C1FA37" w14:textId="77777777" w:rsidTr="002A60D3">
        <w:trPr>
          <w:trHeight w:val="720"/>
          <w:jc w:val="center"/>
        </w:trPr>
        <w:tc>
          <w:tcPr>
            <w:tcW w:w="1537" w:type="dxa"/>
            <w:shd w:val="clear" w:color="auto" w:fill="auto"/>
            <w:vAlign w:val="center"/>
            <w:hideMark/>
          </w:tcPr>
          <w:p w14:paraId="55BF0F01" w14:textId="77D2EA02" w:rsidR="00D759E1" w:rsidRPr="0086186A" w:rsidRDefault="00D759E1" w:rsidP="004C1C77">
            <w:pPr>
              <w:pStyle w:val="SorkznlklCESCI2020"/>
              <w:rPr>
                <w:rFonts w:ascii="Times New Roman" w:hAnsi="Times New Roman"/>
                <w:sz w:val="18"/>
                <w:lang w:val="hr-HR"/>
              </w:rPr>
            </w:pPr>
            <w:r w:rsidRPr="0086186A">
              <w:rPr>
                <w:rFonts w:ascii="Times New Roman" w:hAnsi="Times New Roman"/>
                <w:sz w:val="18"/>
                <w:lang w:val="hr-HR"/>
              </w:rPr>
              <w:lastRenderedPageBreak/>
              <w:t xml:space="preserve">PA 8 </w:t>
            </w:r>
            <w:r w:rsidR="00462BF7" w:rsidRPr="0086186A">
              <w:rPr>
                <w:rFonts w:ascii="Times New Roman" w:hAnsi="Times New Roman"/>
                <w:sz w:val="18"/>
                <w:lang w:val="hr-HR"/>
              </w:rPr>
              <w:t>Konkurentnost poduzeć</w:t>
            </w:r>
            <w:r w:rsidR="00462BF7" w:rsidRPr="0086186A">
              <w:rPr>
                <w:rFonts w:ascii="Times New Roman" w:hAnsi="Times New Roman" w:cs="Times New Roman"/>
                <w:sz w:val="18"/>
                <w:lang w:val="hr-HR"/>
              </w:rPr>
              <w:t>â</w:t>
            </w:r>
          </w:p>
        </w:tc>
        <w:tc>
          <w:tcPr>
            <w:tcW w:w="1421" w:type="dxa"/>
            <w:shd w:val="clear" w:color="auto" w:fill="auto"/>
            <w:vAlign w:val="center"/>
            <w:hideMark/>
          </w:tcPr>
          <w:p w14:paraId="1DAF8B68" w14:textId="7C1D056E" w:rsidR="00D759E1" w:rsidRPr="0086186A" w:rsidRDefault="00D759E1" w:rsidP="004C1C77">
            <w:pPr>
              <w:pStyle w:val="SorkznlklCESCI2020"/>
              <w:jc w:val="center"/>
              <w:rPr>
                <w:rFonts w:ascii="Times New Roman" w:hAnsi="Times New Roman"/>
                <w:sz w:val="18"/>
                <w:lang w:val="hr-HR"/>
              </w:rPr>
            </w:pPr>
            <w:r w:rsidRPr="0086186A">
              <w:rPr>
                <w:rFonts w:ascii="Times New Roman" w:hAnsi="Times New Roman"/>
                <w:sz w:val="18"/>
                <w:lang w:val="hr-HR"/>
              </w:rPr>
              <w:t>++</w:t>
            </w:r>
          </w:p>
        </w:tc>
        <w:tc>
          <w:tcPr>
            <w:tcW w:w="1148" w:type="dxa"/>
            <w:shd w:val="clear" w:color="auto" w:fill="auto"/>
          </w:tcPr>
          <w:p w14:paraId="79097A19" w14:textId="77777777" w:rsidR="00D759E1" w:rsidRPr="0086186A" w:rsidRDefault="00D759E1" w:rsidP="004C1C77">
            <w:pPr>
              <w:pStyle w:val="SorkznlklCESCI2020"/>
              <w:jc w:val="center"/>
              <w:rPr>
                <w:rFonts w:ascii="Times New Roman" w:hAnsi="Times New Roman"/>
                <w:sz w:val="18"/>
                <w:lang w:val="hr-HR"/>
              </w:rPr>
            </w:pPr>
          </w:p>
        </w:tc>
        <w:tc>
          <w:tcPr>
            <w:tcW w:w="1318" w:type="dxa"/>
            <w:shd w:val="clear" w:color="auto" w:fill="auto"/>
            <w:vAlign w:val="center"/>
            <w:hideMark/>
          </w:tcPr>
          <w:p w14:paraId="7283D9CA" w14:textId="3D8D83E3" w:rsidR="00D759E1" w:rsidRPr="0086186A" w:rsidRDefault="00D759E1" w:rsidP="004C1C77">
            <w:pPr>
              <w:pStyle w:val="SorkznlklCESCI2020"/>
              <w:jc w:val="center"/>
              <w:rPr>
                <w:rFonts w:ascii="Times New Roman" w:hAnsi="Times New Roman"/>
                <w:sz w:val="18"/>
                <w:lang w:val="hr-HR"/>
              </w:rPr>
            </w:pPr>
          </w:p>
        </w:tc>
        <w:tc>
          <w:tcPr>
            <w:tcW w:w="1288" w:type="dxa"/>
            <w:shd w:val="clear" w:color="auto" w:fill="auto"/>
            <w:vAlign w:val="center"/>
            <w:hideMark/>
          </w:tcPr>
          <w:p w14:paraId="4746FF63" w14:textId="77777777" w:rsidR="00D759E1" w:rsidRPr="0086186A" w:rsidRDefault="00D759E1" w:rsidP="004C1C77">
            <w:pPr>
              <w:pStyle w:val="SorkznlklCESCI2020"/>
              <w:jc w:val="center"/>
              <w:rPr>
                <w:rFonts w:ascii="Times New Roman" w:hAnsi="Times New Roman"/>
                <w:sz w:val="18"/>
                <w:lang w:val="hr-HR"/>
              </w:rPr>
            </w:pPr>
          </w:p>
        </w:tc>
        <w:tc>
          <w:tcPr>
            <w:tcW w:w="1289" w:type="dxa"/>
            <w:shd w:val="clear" w:color="auto" w:fill="auto"/>
            <w:vAlign w:val="center"/>
            <w:hideMark/>
          </w:tcPr>
          <w:p w14:paraId="09C04D1D" w14:textId="77777777" w:rsidR="00D759E1" w:rsidRPr="0086186A" w:rsidRDefault="00D759E1" w:rsidP="004C1C77">
            <w:pPr>
              <w:pStyle w:val="SorkznlklCESCI2020"/>
              <w:jc w:val="center"/>
              <w:rPr>
                <w:rFonts w:ascii="Times New Roman" w:hAnsi="Times New Roman"/>
                <w:sz w:val="18"/>
                <w:lang w:val="hr-HR"/>
              </w:rPr>
            </w:pPr>
          </w:p>
        </w:tc>
        <w:tc>
          <w:tcPr>
            <w:tcW w:w="1249" w:type="dxa"/>
            <w:shd w:val="clear" w:color="auto" w:fill="auto"/>
            <w:vAlign w:val="center"/>
            <w:hideMark/>
          </w:tcPr>
          <w:p w14:paraId="315B0456" w14:textId="77777777" w:rsidR="00D759E1" w:rsidRPr="0086186A" w:rsidRDefault="00D759E1" w:rsidP="004C1C77">
            <w:pPr>
              <w:pStyle w:val="SorkznlklCESCI2020"/>
              <w:jc w:val="center"/>
              <w:rPr>
                <w:rFonts w:ascii="Times New Roman" w:hAnsi="Times New Roman"/>
                <w:sz w:val="18"/>
                <w:lang w:val="hr-HR"/>
              </w:rPr>
            </w:pPr>
          </w:p>
        </w:tc>
      </w:tr>
      <w:tr w:rsidR="00D759E1" w:rsidRPr="0086186A" w14:paraId="3EB41103" w14:textId="77777777" w:rsidTr="002A60D3">
        <w:trPr>
          <w:trHeight w:val="480"/>
          <w:jc w:val="center"/>
        </w:trPr>
        <w:tc>
          <w:tcPr>
            <w:tcW w:w="1537" w:type="dxa"/>
            <w:shd w:val="clear" w:color="auto" w:fill="auto"/>
            <w:vAlign w:val="center"/>
            <w:hideMark/>
          </w:tcPr>
          <w:p w14:paraId="10A8DAD6" w14:textId="4F988AEE" w:rsidR="00D759E1" w:rsidRPr="0086186A" w:rsidRDefault="00EA477C" w:rsidP="004C1C77">
            <w:pPr>
              <w:pStyle w:val="SorkznlklCESCI2020"/>
              <w:rPr>
                <w:rFonts w:ascii="Times New Roman" w:hAnsi="Times New Roman"/>
                <w:sz w:val="18"/>
                <w:lang w:val="hr-HR"/>
              </w:rPr>
            </w:pPr>
            <w:r w:rsidRPr="0086186A">
              <w:rPr>
                <w:rFonts w:ascii="Times New Roman" w:hAnsi="Times New Roman"/>
                <w:sz w:val="18"/>
                <w:lang w:val="hr-HR"/>
              </w:rPr>
              <w:t>Prioritetna os</w:t>
            </w:r>
            <w:r w:rsidR="00D759E1" w:rsidRPr="0086186A">
              <w:rPr>
                <w:rFonts w:ascii="Times New Roman" w:hAnsi="Times New Roman"/>
                <w:sz w:val="18"/>
                <w:lang w:val="hr-HR"/>
              </w:rPr>
              <w:t xml:space="preserve"> 9 </w:t>
            </w:r>
            <w:r w:rsidRPr="0086186A">
              <w:rPr>
                <w:rFonts w:ascii="Times New Roman" w:hAnsi="Times New Roman"/>
                <w:sz w:val="18"/>
                <w:lang w:val="hr-HR"/>
              </w:rPr>
              <w:t>Ljudi i vještine</w:t>
            </w:r>
          </w:p>
        </w:tc>
        <w:tc>
          <w:tcPr>
            <w:tcW w:w="1421" w:type="dxa"/>
            <w:shd w:val="clear" w:color="auto" w:fill="auto"/>
            <w:vAlign w:val="center"/>
            <w:hideMark/>
          </w:tcPr>
          <w:p w14:paraId="38E008D4" w14:textId="77777777" w:rsidR="00D759E1" w:rsidRPr="0086186A" w:rsidRDefault="00D759E1" w:rsidP="004C1C77">
            <w:pPr>
              <w:pStyle w:val="SorkznlklCESCI2020"/>
              <w:jc w:val="center"/>
              <w:rPr>
                <w:rFonts w:ascii="Times New Roman" w:hAnsi="Times New Roman"/>
                <w:sz w:val="18"/>
                <w:lang w:val="hr-HR"/>
              </w:rPr>
            </w:pPr>
          </w:p>
        </w:tc>
        <w:tc>
          <w:tcPr>
            <w:tcW w:w="1148" w:type="dxa"/>
            <w:shd w:val="clear" w:color="auto" w:fill="auto"/>
          </w:tcPr>
          <w:p w14:paraId="76A8B644" w14:textId="77777777" w:rsidR="00D759E1" w:rsidRPr="0086186A" w:rsidRDefault="00D759E1" w:rsidP="004C1C77">
            <w:pPr>
              <w:pStyle w:val="SorkznlklCESCI2020"/>
              <w:jc w:val="center"/>
              <w:rPr>
                <w:rFonts w:ascii="Times New Roman" w:hAnsi="Times New Roman"/>
                <w:sz w:val="18"/>
                <w:lang w:val="hr-HR"/>
              </w:rPr>
            </w:pPr>
          </w:p>
        </w:tc>
        <w:tc>
          <w:tcPr>
            <w:tcW w:w="1318" w:type="dxa"/>
            <w:shd w:val="clear" w:color="auto" w:fill="auto"/>
            <w:vAlign w:val="center"/>
            <w:hideMark/>
          </w:tcPr>
          <w:p w14:paraId="05BF72A1" w14:textId="7B9DFABA" w:rsidR="00D759E1" w:rsidRPr="0086186A" w:rsidRDefault="00D759E1" w:rsidP="004C1C77">
            <w:pPr>
              <w:pStyle w:val="SorkznlklCESCI2020"/>
              <w:jc w:val="center"/>
              <w:rPr>
                <w:rFonts w:ascii="Times New Roman" w:hAnsi="Times New Roman"/>
                <w:sz w:val="18"/>
                <w:lang w:val="hr-HR"/>
              </w:rPr>
            </w:pPr>
          </w:p>
        </w:tc>
        <w:tc>
          <w:tcPr>
            <w:tcW w:w="1288" w:type="dxa"/>
            <w:shd w:val="clear" w:color="auto" w:fill="auto"/>
            <w:vAlign w:val="center"/>
            <w:hideMark/>
          </w:tcPr>
          <w:p w14:paraId="1C9D3427" w14:textId="66E14060" w:rsidR="00D759E1" w:rsidRPr="0086186A" w:rsidRDefault="00D759E1" w:rsidP="004C1C77">
            <w:pPr>
              <w:pStyle w:val="SorkznlklCESCI2020"/>
              <w:jc w:val="center"/>
              <w:rPr>
                <w:rFonts w:ascii="Times New Roman" w:hAnsi="Times New Roman"/>
                <w:b/>
                <w:sz w:val="18"/>
                <w:lang w:val="hr-HR"/>
              </w:rPr>
            </w:pPr>
          </w:p>
        </w:tc>
        <w:tc>
          <w:tcPr>
            <w:tcW w:w="1289" w:type="dxa"/>
            <w:shd w:val="clear" w:color="auto" w:fill="auto"/>
            <w:vAlign w:val="center"/>
            <w:hideMark/>
          </w:tcPr>
          <w:p w14:paraId="55E66F58" w14:textId="31E278BF" w:rsidR="00D759E1" w:rsidRPr="0086186A" w:rsidRDefault="00D759E1" w:rsidP="004C1C77">
            <w:pPr>
              <w:pStyle w:val="SorkznlklCESCI2020"/>
              <w:jc w:val="center"/>
              <w:rPr>
                <w:rFonts w:ascii="Times New Roman" w:hAnsi="Times New Roman"/>
                <w:sz w:val="18"/>
                <w:lang w:val="hr-HR"/>
              </w:rPr>
            </w:pPr>
            <w:r w:rsidRPr="0086186A">
              <w:rPr>
                <w:rFonts w:ascii="Times New Roman" w:hAnsi="Times New Roman"/>
                <w:sz w:val="18"/>
                <w:lang w:val="hr-HR"/>
              </w:rPr>
              <w:t>++</w:t>
            </w:r>
          </w:p>
        </w:tc>
        <w:tc>
          <w:tcPr>
            <w:tcW w:w="1249" w:type="dxa"/>
            <w:shd w:val="clear" w:color="auto" w:fill="auto"/>
            <w:vAlign w:val="center"/>
            <w:hideMark/>
          </w:tcPr>
          <w:p w14:paraId="044A5F22" w14:textId="7586DA5E" w:rsidR="00D759E1" w:rsidRPr="0086186A" w:rsidRDefault="00AB6928" w:rsidP="004C1C77">
            <w:pPr>
              <w:pStyle w:val="SorkznlklCESCI2020"/>
              <w:jc w:val="center"/>
              <w:rPr>
                <w:rFonts w:ascii="Times New Roman" w:hAnsi="Times New Roman"/>
                <w:sz w:val="18"/>
                <w:lang w:val="hr-HR"/>
              </w:rPr>
            </w:pPr>
            <w:r w:rsidRPr="0086186A">
              <w:rPr>
                <w:rFonts w:ascii="Times New Roman" w:hAnsi="Times New Roman"/>
                <w:sz w:val="18"/>
                <w:lang w:val="hr-HR"/>
              </w:rPr>
              <w:t>+</w:t>
            </w:r>
          </w:p>
        </w:tc>
      </w:tr>
      <w:tr w:rsidR="00D759E1" w:rsidRPr="0086186A" w14:paraId="085B9FEF" w14:textId="77777777" w:rsidTr="002A60D3">
        <w:trPr>
          <w:trHeight w:val="720"/>
          <w:jc w:val="center"/>
        </w:trPr>
        <w:tc>
          <w:tcPr>
            <w:tcW w:w="1537" w:type="dxa"/>
            <w:shd w:val="clear" w:color="auto" w:fill="auto"/>
            <w:vAlign w:val="center"/>
            <w:hideMark/>
          </w:tcPr>
          <w:p w14:paraId="1CFD79EE" w14:textId="23139387" w:rsidR="00D759E1" w:rsidRPr="0086186A" w:rsidRDefault="00EA477C" w:rsidP="004C1C77">
            <w:pPr>
              <w:pStyle w:val="SorkznlklCESCI2020"/>
              <w:rPr>
                <w:rFonts w:ascii="Times New Roman" w:hAnsi="Times New Roman"/>
                <w:sz w:val="18"/>
                <w:lang w:val="hr-HR"/>
              </w:rPr>
            </w:pPr>
            <w:r w:rsidRPr="0086186A">
              <w:rPr>
                <w:rFonts w:ascii="Times New Roman" w:hAnsi="Times New Roman"/>
                <w:sz w:val="18"/>
                <w:lang w:val="hr-HR"/>
              </w:rPr>
              <w:t>Prioritetna os</w:t>
            </w:r>
            <w:r w:rsidR="00D759E1" w:rsidRPr="0086186A">
              <w:rPr>
                <w:rFonts w:ascii="Times New Roman" w:hAnsi="Times New Roman"/>
                <w:sz w:val="18"/>
                <w:lang w:val="hr-HR"/>
              </w:rPr>
              <w:t xml:space="preserve"> 10 </w:t>
            </w:r>
            <w:r w:rsidRPr="0086186A">
              <w:rPr>
                <w:rFonts w:ascii="Times New Roman" w:hAnsi="Times New Roman"/>
                <w:sz w:val="18"/>
                <w:lang w:val="hr-HR"/>
              </w:rPr>
              <w:t>Institucionalni kapacitet i suradnja</w:t>
            </w:r>
          </w:p>
        </w:tc>
        <w:tc>
          <w:tcPr>
            <w:tcW w:w="1421" w:type="dxa"/>
            <w:shd w:val="clear" w:color="auto" w:fill="auto"/>
            <w:vAlign w:val="center"/>
            <w:hideMark/>
          </w:tcPr>
          <w:p w14:paraId="433B7122" w14:textId="77777777" w:rsidR="00D759E1" w:rsidRPr="0086186A" w:rsidRDefault="00D759E1" w:rsidP="004C1C77">
            <w:pPr>
              <w:pStyle w:val="SorkznlklCESCI2020"/>
              <w:jc w:val="center"/>
              <w:rPr>
                <w:rFonts w:ascii="Times New Roman" w:hAnsi="Times New Roman"/>
                <w:sz w:val="18"/>
                <w:lang w:val="hr-HR"/>
              </w:rPr>
            </w:pPr>
          </w:p>
        </w:tc>
        <w:tc>
          <w:tcPr>
            <w:tcW w:w="1148" w:type="dxa"/>
            <w:shd w:val="clear" w:color="auto" w:fill="auto"/>
          </w:tcPr>
          <w:p w14:paraId="64C500B8" w14:textId="77777777" w:rsidR="00D759E1" w:rsidRPr="0086186A" w:rsidRDefault="00D759E1" w:rsidP="004C1C77">
            <w:pPr>
              <w:pStyle w:val="SorkznlklCESCI2020"/>
              <w:jc w:val="center"/>
              <w:rPr>
                <w:rFonts w:ascii="Times New Roman" w:hAnsi="Times New Roman"/>
                <w:sz w:val="18"/>
                <w:lang w:val="hr-HR"/>
              </w:rPr>
            </w:pPr>
          </w:p>
        </w:tc>
        <w:tc>
          <w:tcPr>
            <w:tcW w:w="1318" w:type="dxa"/>
            <w:shd w:val="clear" w:color="auto" w:fill="auto"/>
            <w:vAlign w:val="center"/>
            <w:hideMark/>
          </w:tcPr>
          <w:p w14:paraId="5A6FFEBD" w14:textId="416542EB" w:rsidR="00D759E1" w:rsidRPr="0086186A" w:rsidRDefault="00D759E1" w:rsidP="004C1C77">
            <w:pPr>
              <w:pStyle w:val="SorkznlklCESCI2020"/>
              <w:jc w:val="center"/>
              <w:rPr>
                <w:rFonts w:ascii="Times New Roman" w:hAnsi="Times New Roman"/>
                <w:sz w:val="18"/>
                <w:lang w:val="hr-HR"/>
              </w:rPr>
            </w:pPr>
          </w:p>
        </w:tc>
        <w:tc>
          <w:tcPr>
            <w:tcW w:w="1288" w:type="dxa"/>
            <w:shd w:val="clear" w:color="auto" w:fill="auto"/>
            <w:vAlign w:val="center"/>
            <w:hideMark/>
          </w:tcPr>
          <w:p w14:paraId="158C8D40" w14:textId="77777777" w:rsidR="00D759E1" w:rsidRPr="0086186A" w:rsidRDefault="00D759E1" w:rsidP="004C1C77">
            <w:pPr>
              <w:pStyle w:val="SorkznlklCESCI2020"/>
              <w:jc w:val="center"/>
              <w:rPr>
                <w:rFonts w:ascii="Times New Roman" w:hAnsi="Times New Roman"/>
                <w:sz w:val="18"/>
                <w:lang w:val="hr-HR"/>
              </w:rPr>
            </w:pPr>
          </w:p>
        </w:tc>
        <w:tc>
          <w:tcPr>
            <w:tcW w:w="1289" w:type="dxa"/>
            <w:shd w:val="clear" w:color="auto" w:fill="auto"/>
            <w:vAlign w:val="center"/>
            <w:hideMark/>
          </w:tcPr>
          <w:p w14:paraId="4C139C01" w14:textId="77777777" w:rsidR="00D759E1" w:rsidRPr="0086186A" w:rsidRDefault="00D759E1" w:rsidP="004C1C77">
            <w:pPr>
              <w:pStyle w:val="SorkznlklCESCI2020"/>
              <w:jc w:val="center"/>
              <w:rPr>
                <w:rFonts w:ascii="Times New Roman" w:hAnsi="Times New Roman"/>
                <w:sz w:val="18"/>
                <w:lang w:val="hr-HR"/>
              </w:rPr>
            </w:pPr>
          </w:p>
        </w:tc>
        <w:tc>
          <w:tcPr>
            <w:tcW w:w="1249" w:type="dxa"/>
            <w:shd w:val="clear" w:color="auto" w:fill="auto"/>
            <w:vAlign w:val="center"/>
            <w:hideMark/>
          </w:tcPr>
          <w:p w14:paraId="27549E58" w14:textId="77777777" w:rsidR="00D759E1" w:rsidRPr="0086186A" w:rsidRDefault="00D759E1" w:rsidP="004C1C77">
            <w:pPr>
              <w:pStyle w:val="SorkznlklCESCI2020"/>
              <w:jc w:val="center"/>
              <w:rPr>
                <w:rFonts w:ascii="Times New Roman" w:hAnsi="Times New Roman"/>
                <w:b/>
                <w:sz w:val="18"/>
                <w:lang w:val="hr-HR"/>
              </w:rPr>
            </w:pPr>
            <w:r w:rsidRPr="0086186A">
              <w:rPr>
                <w:rFonts w:ascii="Times New Roman" w:hAnsi="Times New Roman"/>
                <w:b/>
                <w:sz w:val="18"/>
                <w:lang w:val="hr-HR"/>
              </w:rPr>
              <w:t>++</w:t>
            </w:r>
          </w:p>
        </w:tc>
      </w:tr>
      <w:tr w:rsidR="00D759E1" w:rsidRPr="0086186A" w14:paraId="7497F607" w14:textId="77777777" w:rsidTr="002A60D3">
        <w:trPr>
          <w:trHeight w:val="300"/>
          <w:jc w:val="center"/>
        </w:trPr>
        <w:tc>
          <w:tcPr>
            <w:tcW w:w="1537" w:type="dxa"/>
            <w:shd w:val="clear" w:color="auto" w:fill="auto"/>
            <w:vAlign w:val="center"/>
            <w:hideMark/>
          </w:tcPr>
          <w:p w14:paraId="3E13431B" w14:textId="1BB06CC3" w:rsidR="00D759E1" w:rsidRPr="0086186A" w:rsidRDefault="00EA477C" w:rsidP="004C1C77">
            <w:pPr>
              <w:pStyle w:val="SorkznlklCESCI2020"/>
              <w:rPr>
                <w:rFonts w:ascii="Times New Roman" w:hAnsi="Times New Roman"/>
                <w:sz w:val="18"/>
                <w:lang w:val="hr-HR"/>
              </w:rPr>
            </w:pPr>
            <w:r w:rsidRPr="0086186A">
              <w:rPr>
                <w:rFonts w:ascii="Times New Roman" w:hAnsi="Times New Roman"/>
                <w:sz w:val="18"/>
                <w:lang w:val="hr-HR"/>
              </w:rPr>
              <w:t>Prioritetna os</w:t>
            </w:r>
            <w:r w:rsidR="00D759E1" w:rsidRPr="0086186A">
              <w:rPr>
                <w:rFonts w:ascii="Times New Roman" w:hAnsi="Times New Roman"/>
                <w:sz w:val="18"/>
                <w:lang w:val="hr-HR"/>
              </w:rPr>
              <w:t xml:space="preserve"> 11 </w:t>
            </w:r>
            <w:r w:rsidRPr="0086186A">
              <w:rPr>
                <w:rFonts w:ascii="Times New Roman" w:hAnsi="Times New Roman"/>
                <w:sz w:val="18"/>
                <w:lang w:val="hr-HR"/>
              </w:rPr>
              <w:t>Sigurnost</w:t>
            </w:r>
          </w:p>
        </w:tc>
        <w:tc>
          <w:tcPr>
            <w:tcW w:w="1421" w:type="dxa"/>
            <w:shd w:val="clear" w:color="auto" w:fill="auto"/>
            <w:vAlign w:val="center"/>
            <w:hideMark/>
          </w:tcPr>
          <w:p w14:paraId="04022DE4" w14:textId="77777777" w:rsidR="00D759E1" w:rsidRPr="0086186A" w:rsidRDefault="00D759E1" w:rsidP="004C1C77">
            <w:pPr>
              <w:pStyle w:val="SorkznlklCESCI2020"/>
              <w:jc w:val="center"/>
              <w:rPr>
                <w:rFonts w:ascii="Times New Roman" w:hAnsi="Times New Roman"/>
                <w:sz w:val="18"/>
                <w:lang w:val="hr-HR"/>
              </w:rPr>
            </w:pPr>
          </w:p>
        </w:tc>
        <w:tc>
          <w:tcPr>
            <w:tcW w:w="1148" w:type="dxa"/>
            <w:shd w:val="clear" w:color="auto" w:fill="auto"/>
          </w:tcPr>
          <w:p w14:paraId="0A994F95" w14:textId="77777777" w:rsidR="00D759E1" w:rsidRPr="0086186A" w:rsidRDefault="00D759E1" w:rsidP="004C1C77">
            <w:pPr>
              <w:pStyle w:val="SorkznlklCESCI2020"/>
              <w:jc w:val="center"/>
              <w:rPr>
                <w:rFonts w:ascii="Times New Roman" w:hAnsi="Times New Roman"/>
                <w:sz w:val="18"/>
                <w:lang w:val="hr-HR"/>
              </w:rPr>
            </w:pPr>
          </w:p>
        </w:tc>
        <w:tc>
          <w:tcPr>
            <w:tcW w:w="1318" w:type="dxa"/>
            <w:shd w:val="clear" w:color="auto" w:fill="auto"/>
            <w:vAlign w:val="center"/>
            <w:hideMark/>
          </w:tcPr>
          <w:p w14:paraId="62A73774" w14:textId="74B97A64" w:rsidR="00D759E1" w:rsidRPr="0086186A" w:rsidRDefault="00D759E1" w:rsidP="004C1C77">
            <w:pPr>
              <w:pStyle w:val="SorkznlklCESCI2020"/>
              <w:jc w:val="center"/>
              <w:rPr>
                <w:rFonts w:ascii="Times New Roman" w:hAnsi="Times New Roman"/>
                <w:sz w:val="18"/>
                <w:lang w:val="hr-HR"/>
              </w:rPr>
            </w:pPr>
          </w:p>
        </w:tc>
        <w:tc>
          <w:tcPr>
            <w:tcW w:w="1288" w:type="dxa"/>
            <w:shd w:val="clear" w:color="auto" w:fill="auto"/>
            <w:vAlign w:val="center"/>
            <w:hideMark/>
          </w:tcPr>
          <w:p w14:paraId="44073CC0" w14:textId="77777777" w:rsidR="00D759E1" w:rsidRPr="0086186A" w:rsidRDefault="00D759E1" w:rsidP="004C1C77">
            <w:pPr>
              <w:pStyle w:val="SorkznlklCESCI2020"/>
              <w:jc w:val="center"/>
              <w:rPr>
                <w:rFonts w:ascii="Times New Roman" w:hAnsi="Times New Roman"/>
                <w:sz w:val="18"/>
                <w:lang w:val="hr-HR"/>
              </w:rPr>
            </w:pPr>
          </w:p>
        </w:tc>
        <w:tc>
          <w:tcPr>
            <w:tcW w:w="1289" w:type="dxa"/>
            <w:shd w:val="clear" w:color="auto" w:fill="auto"/>
            <w:vAlign w:val="center"/>
            <w:hideMark/>
          </w:tcPr>
          <w:p w14:paraId="64B262E5" w14:textId="77777777" w:rsidR="00D759E1" w:rsidRPr="0086186A" w:rsidRDefault="00D759E1" w:rsidP="004C1C77">
            <w:pPr>
              <w:pStyle w:val="SorkznlklCESCI2020"/>
              <w:jc w:val="center"/>
              <w:rPr>
                <w:rFonts w:ascii="Times New Roman" w:hAnsi="Times New Roman"/>
                <w:sz w:val="18"/>
                <w:lang w:val="hr-HR"/>
              </w:rPr>
            </w:pPr>
          </w:p>
        </w:tc>
        <w:tc>
          <w:tcPr>
            <w:tcW w:w="1249" w:type="dxa"/>
            <w:shd w:val="clear" w:color="auto" w:fill="auto"/>
            <w:vAlign w:val="center"/>
            <w:hideMark/>
          </w:tcPr>
          <w:p w14:paraId="2A88E088" w14:textId="45EAFA18" w:rsidR="00D759E1" w:rsidRPr="0086186A" w:rsidRDefault="00AB6928" w:rsidP="004C1C77">
            <w:pPr>
              <w:pStyle w:val="SorkznlklCESCI2020"/>
              <w:jc w:val="center"/>
              <w:rPr>
                <w:rFonts w:ascii="Times New Roman" w:hAnsi="Times New Roman"/>
                <w:sz w:val="18"/>
                <w:lang w:val="hr-HR"/>
              </w:rPr>
            </w:pPr>
            <w:r w:rsidRPr="0086186A">
              <w:rPr>
                <w:rFonts w:ascii="Times New Roman" w:hAnsi="Times New Roman"/>
                <w:sz w:val="18"/>
                <w:lang w:val="hr-HR"/>
              </w:rPr>
              <w:t>+</w:t>
            </w:r>
          </w:p>
        </w:tc>
      </w:tr>
    </w:tbl>
    <w:p w14:paraId="364A3120" w14:textId="77777777" w:rsidR="004C1C77" w:rsidRPr="0086186A" w:rsidRDefault="004C1C77" w:rsidP="00D8786F">
      <w:pPr>
        <w:pStyle w:val="BodyText"/>
        <w:ind w:left="170" w:right="135"/>
        <w:jc w:val="both"/>
        <w:rPr>
          <w:rFonts w:ascii="Times New Roman" w:hAnsi="Times New Roman" w:cs="Times New Roman"/>
          <w:b/>
          <w:sz w:val="20"/>
          <w:szCs w:val="20"/>
          <w:highlight w:val="lightGray"/>
          <w:lang w:val="hr-HR"/>
        </w:rPr>
      </w:pPr>
    </w:p>
    <w:p w14:paraId="11175F28" w14:textId="45D8E9A0" w:rsidR="009F47C0" w:rsidRPr="0086186A" w:rsidRDefault="009F47C0" w:rsidP="001C431F">
      <w:pPr>
        <w:pStyle w:val="BodyText"/>
        <w:ind w:left="170" w:right="135"/>
        <w:jc w:val="both"/>
        <w:rPr>
          <w:rFonts w:ascii="Times New Roman" w:hAnsi="Times New Roman"/>
          <w:sz w:val="20"/>
          <w:lang w:val="hr-HR"/>
        </w:rPr>
      </w:pPr>
      <w:r w:rsidRPr="0086186A">
        <w:rPr>
          <w:rFonts w:ascii="Times New Roman" w:hAnsi="Times New Roman"/>
          <w:sz w:val="20"/>
          <w:lang w:val="hr-HR"/>
        </w:rPr>
        <w:t>U slučaju navedenih tematskih sinergija, Program može olakšati provedbu ciljeva Dunavske strategije kroz primjenu jednog ili više sljedećih alata prema odluci odbora za praćenje:</w:t>
      </w:r>
    </w:p>
    <w:p w14:paraId="2D877C1D" w14:textId="41B127F9" w:rsidR="009F47C0" w:rsidRPr="0086186A" w:rsidRDefault="009F47C0" w:rsidP="001C431F">
      <w:pPr>
        <w:pStyle w:val="BodyText"/>
        <w:ind w:left="170" w:right="135"/>
        <w:jc w:val="both"/>
        <w:rPr>
          <w:rFonts w:ascii="Times New Roman" w:hAnsi="Times New Roman"/>
          <w:sz w:val="20"/>
          <w:lang w:val="hr-HR"/>
        </w:rPr>
      </w:pPr>
    </w:p>
    <w:p w14:paraId="44574137" w14:textId="42AA3B3A" w:rsidR="009F47C0" w:rsidRPr="0086186A" w:rsidRDefault="00EA477C" w:rsidP="009F47C0">
      <w:pPr>
        <w:pStyle w:val="BodyText"/>
        <w:numPr>
          <w:ilvl w:val="0"/>
          <w:numId w:val="37"/>
        </w:numPr>
        <w:ind w:right="135"/>
        <w:jc w:val="both"/>
        <w:rPr>
          <w:rFonts w:ascii="Times New Roman" w:hAnsi="Times New Roman"/>
          <w:sz w:val="20"/>
          <w:lang w:val="hr-HR"/>
        </w:rPr>
      </w:pPr>
      <w:r w:rsidRPr="0086186A">
        <w:rPr>
          <w:rFonts w:ascii="Times New Roman" w:hAnsi="Times New Roman"/>
          <w:sz w:val="20"/>
          <w:lang w:val="hr-HR"/>
        </w:rPr>
        <w:t>Posebni</w:t>
      </w:r>
      <w:r w:rsidR="009F47C0" w:rsidRPr="0086186A">
        <w:rPr>
          <w:rFonts w:ascii="Times New Roman" w:hAnsi="Times New Roman"/>
          <w:sz w:val="20"/>
          <w:lang w:val="hr-HR"/>
        </w:rPr>
        <w:t xml:space="preserve"> kriteriji odabira koji koriste </w:t>
      </w:r>
      <w:proofErr w:type="spellStart"/>
      <w:r w:rsidR="009F47C0" w:rsidRPr="0086186A">
        <w:rPr>
          <w:rFonts w:ascii="Times New Roman" w:hAnsi="Times New Roman"/>
          <w:sz w:val="20"/>
          <w:lang w:val="hr-HR"/>
        </w:rPr>
        <w:t>MSP</w:t>
      </w:r>
      <w:proofErr w:type="spellEnd"/>
      <w:r w:rsidR="009F47C0" w:rsidRPr="0086186A">
        <w:rPr>
          <w:rFonts w:ascii="Times New Roman" w:hAnsi="Times New Roman"/>
          <w:sz w:val="20"/>
          <w:lang w:val="hr-HR"/>
        </w:rPr>
        <w:t>-ovima</w:t>
      </w:r>
    </w:p>
    <w:p w14:paraId="2F7F5A9D" w14:textId="23111E1B" w:rsidR="009F47C0" w:rsidRPr="0086186A" w:rsidRDefault="009F47C0" w:rsidP="009F47C0">
      <w:pPr>
        <w:pStyle w:val="BodyText"/>
        <w:numPr>
          <w:ilvl w:val="0"/>
          <w:numId w:val="37"/>
        </w:numPr>
        <w:ind w:right="135"/>
        <w:jc w:val="both"/>
        <w:rPr>
          <w:rFonts w:ascii="Times New Roman" w:hAnsi="Times New Roman"/>
          <w:sz w:val="20"/>
          <w:lang w:val="hr-HR"/>
        </w:rPr>
      </w:pPr>
      <w:r w:rsidRPr="0086186A">
        <w:rPr>
          <w:rFonts w:ascii="Times New Roman" w:hAnsi="Times New Roman"/>
          <w:sz w:val="20"/>
          <w:lang w:val="hr-HR"/>
        </w:rPr>
        <w:t>Dopunski projekti</w:t>
      </w:r>
    </w:p>
    <w:p w14:paraId="62BCBBC3" w14:textId="4FA6977B" w:rsidR="009F47C0" w:rsidRPr="0086186A" w:rsidRDefault="009F47C0" w:rsidP="009F47C0">
      <w:pPr>
        <w:pStyle w:val="BodyText"/>
        <w:numPr>
          <w:ilvl w:val="0"/>
          <w:numId w:val="37"/>
        </w:numPr>
        <w:ind w:right="135"/>
        <w:jc w:val="both"/>
        <w:rPr>
          <w:rFonts w:ascii="Times New Roman" w:hAnsi="Times New Roman"/>
          <w:sz w:val="20"/>
          <w:lang w:val="hr-HR"/>
        </w:rPr>
      </w:pPr>
      <w:r w:rsidRPr="0086186A">
        <w:rPr>
          <w:rFonts w:ascii="Times New Roman" w:hAnsi="Times New Roman"/>
          <w:sz w:val="20"/>
          <w:lang w:val="hr-HR"/>
        </w:rPr>
        <w:t>Projekti označavanja kvalitete</w:t>
      </w:r>
    </w:p>
    <w:p w14:paraId="450E3608" w14:textId="4D3B9D68" w:rsidR="009F47C0" w:rsidRPr="0086186A" w:rsidRDefault="009F47C0" w:rsidP="009F47C0">
      <w:pPr>
        <w:pStyle w:val="BodyText"/>
        <w:ind w:right="135"/>
        <w:jc w:val="both"/>
        <w:rPr>
          <w:rFonts w:ascii="Times New Roman" w:hAnsi="Times New Roman"/>
          <w:sz w:val="20"/>
          <w:lang w:val="hr-HR"/>
        </w:rPr>
      </w:pPr>
    </w:p>
    <w:p w14:paraId="03128A15" w14:textId="071A55C9" w:rsidR="009F47C0" w:rsidRPr="0086186A" w:rsidRDefault="009F47C0" w:rsidP="009F47C0">
      <w:pPr>
        <w:pStyle w:val="BodyText"/>
        <w:ind w:right="135"/>
        <w:jc w:val="both"/>
        <w:rPr>
          <w:rFonts w:ascii="Times New Roman" w:hAnsi="Times New Roman"/>
          <w:sz w:val="20"/>
          <w:lang w:val="hr-HR"/>
        </w:rPr>
      </w:pPr>
      <w:r w:rsidRPr="0086186A">
        <w:rPr>
          <w:rFonts w:ascii="Times New Roman" w:hAnsi="Times New Roman"/>
          <w:sz w:val="20"/>
          <w:lang w:val="hr-HR"/>
        </w:rPr>
        <w:t>Sinergije s drugim programima i instrumentima za financiranje</w:t>
      </w:r>
    </w:p>
    <w:p w14:paraId="1AE19B59" w14:textId="2D830961" w:rsidR="009F47C0" w:rsidRPr="0086186A" w:rsidRDefault="009F47C0" w:rsidP="009F47C0">
      <w:pPr>
        <w:pStyle w:val="BodyText"/>
        <w:ind w:right="135"/>
        <w:jc w:val="both"/>
        <w:rPr>
          <w:rFonts w:ascii="Times New Roman" w:hAnsi="Times New Roman"/>
          <w:sz w:val="20"/>
          <w:lang w:val="hr-HR"/>
        </w:rPr>
      </w:pPr>
    </w:p>
    <w:p w14:paraId="170BA5FB" w14:textId="5E67169A" w:rsidR="00BC58B4" w:rsidRPr="0086186A" w:rsidRDefault="00BC58B4" w:rsidP="009F47C0">
      <w:pPr>
        <w:pStyle w:val="BodyText"/>
        <w:ind w:right="135"/>
        <w:jc w:val="both"/>
        <w:rPr>
          <w:rFonts w:ascii="Times New Roman" w:hAnsi="Times New Roman"/>
          <w:sz w:val="20"/>
          <w:lang w:val="hr-HR"/>
        </w:rPr>
      </w:pPr>
      <w:r w:rsidRPr="0086186A">
        <w:rPr>
          <w:rFonts w:ascii="Times New Roman" w:hAnsi="Times New Roman"/>
          <w:sz w:val="20"/>
          <w:lang w:val="hr-HR"/>
        </w:rPr>
        <w:t xml:space="preserve">Dokument „Sporazum o partnerstvu za Mađarsku o europskim strukturnim i investicijskom fondovima“ (nacrt) služi kao temelj za analizu sinergija. U Sporazumu o </w:t>
      </w:r>
      <w:proofErr w:type="spellStart"/>
      <w:r w:rsidRPr="0086186A">
        <w:rPr>
          <w:rFonts w:ascii="Times New Roman" w:hAnsi="Times New Roman"/>
          <w:sz w:val="20"/>
          <w:lang w:val="hr-HR"/>
        </w:rPr>
        <w:t>parnerstvu</w:t>
      </w:r>
      <w:proofErr w:type="spellEnd"/>
      <w:r w:rsidRPr="0086186A">
        <w:rPr>
          <w:rFonts w:ascii="Times New Roman" w:hAnsi="Times New Roman"/>
          <w:sz w:val="20"/>
          <w:lang w:val="hr-HR"/>
        </w:rPr>
        <w:t xml:space="preserve"> (SP) za razdoblje od 1. siječnja 2021. do 31. prosinca 2027. određen je razvoj za koji će se upotrijebiti kohezijski fondovi koji u Mađarsku dolaze iz Višegodišnjeg financijskog okvira (</w:t>
      </w:r>
      <w:proofErr w:type="spellStart"/>
      <w:r w:rsidRPr="0086186A">
        <w:rPr>
          <w:rFonts w:ascii="Times New Roman" w:hAnsi="Times New Roman"/>
          <w:sz w:val="20"/>
          <w:lang w:val="hr-HR"/>
        </w:rPr>
        <w:t>VFO</w:t>
      </w:r>
      <w:proofErr w:type="spellEnd"/>
      <w:r w:rsidRPr="0086186A">
        <w:rPr>
          <w:rFonts w:ascii="Times New Roman" w:hAnsi="Times New Roman"/>
          <w:sz w:val="20"/>
          <w:lang w:val="hr-HR"/>
        </w:rPr>
        <w:t xml:space="preserve">) Unije. U sljedećoj tablici prikazane su moguće sinergije s ciljevima planiranih središnjih programa i predloženim </w:t>
      </w:r>
      <w:r w:rsidR="002717CC" w:rsidRPr="0086186A">
        <w:rPr>
          <w:rFonts w:ascii="Times New Roman" w:hAnsi="Times New Roman"/>
          <w:sz w:val="20"/>
          <w:lang w:val="hr-HR"/>
        </w:rPr>
        <w:t>posebni ciljevima</w:t>
      </w:r>
      <w:r w:rsidRPr="0086186A">
        <w:rPr>
          <w:rFonts w:ascii="Times New Roman" w:hAnsi="Times New Roman"/>
          <w:sz w:val="20"/>
          <w:lang w:val="hr-HR"/>
        </w:rPr>
        <w:t xml:space="preserve"> tekućeg Programa prekogranične suradnje.</w:t>
      </w:r>
    </w:p>
    <w:p w14:paraId="23884C58" w14:textId="77777777" w:rsidR="009F47C0" w:rsidRPr="0086186A" w:rsidRDefault="009F47C0" w:rsidP="009F47C0">
      <w:pPr>
        <w:pStyle w:val="BodyText"/>
        <w:ind w:right="135"/>
        <w:jc w:val="both"/>
        <w:rPr>
          <w:rFonts w:ascii="Times New Roman" w:hAnsi="Times New Roman"/>
          <w:sz w:val="20"/>
          <w:lang w:val="hr-HR"/>
        </w:rPr>
      </w:pPr>
    </w:p>
    <w:p w14:paraId="43E8C919" w14:textId="13200AEF" w:rsidR="009F47C0" w:rsidRPr="0086186A" w:rsidRDefault="009F47C0" w:rsidP="001C431F">
      <w:pPr>
        <w:pStyle w:val="BodyText"/>
        <w:ind w:left="170" w:right="135"/>
        <w:jc w:val="both"/>
        <w:rPr>
          <w:rFonts w:ascii="Times New Roman" w:hAnsi="Times New Roman"/>
          <w:sz w:val="20"/>
          <w:lang w:val="hr-HR"/>
        </w:rPr>
      </w:pPr>
    </w:p>
    <w:p w14:paraId="4F501E48" w14:textId="77777777" w:rsidR="009F47C0" w:rsidRPr="0086186A" w:rsidRDefault="009F47C0" w:rsidP="001C431F">
      <w:pPr>
        <w:pStyle w:val="BodyText"/>
        <w:ind w:left="170" w:right="135"/>
        <w:jc w:val="both"/>
        <w:rPr>
          <w:rFonts w:ascii="Times New Roman" w:hAnsi="Times New Roman"/>
          <w:sz w:val="20"/>
          <w:lang w:val="hr-HR"/>
        </w:rPr>
      </w:pP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4"/>
        <w:gridCol w:w="1401"/>
        <w:gridCol w:w="1243"/>
        <w:gridCol w:w="1312"/>
        <w:gridCol w:w="1272"/>
        <w:gridCol w:w="1333"/>
        <w:gridCol w:w="1180"/>
      </w:tblGrid>
      <w:tr w:rsidR="00D759E1" w:rsidRPr="0086186A" w14:paraId="452E638F" w14:textId="77777777" w:rsidTr="00B04DD4">
        <w:trPr>
          <w:cantSplit/>
          <w:trHeight w:val="300"/>
          <w:tblHeader/>
          <w:jc w:val="center"/>
        </w:trPr>
        <w:tc>
          <w:tcPr>
            <w:tcW w:w="1604" w:type="dxa"/>
            <w:vMerge w:val="restart"/>
            <w:shd w:val="clear" w:color="auto" w:fill="auto"/>
            <w:vAlign w:val="center"/>
            <w:hideMark/>
          </w:tcPr>
          <w:p w14:paraId="7E71DA87" w14:textId="03C37964" w:rsidR="00D759E1" w:rsidRPr="0086186A" w:rsidRDefault="000A5853" w:rsidP="00D759E1">
            <w:pPr>
              <w:pStyle w:val="SorkznlklCESCI2020"/>
              <w:rPr>
                <w:rFonts w:ascii="Times New Roman" w:hAnsi="Times New Roman"/>
                <w:sz w:val="18"/>
                <w:lang w:val="hr-HR"/>
              </w:rPr>
            </w:pPr>
            <w:r w:rsidRPr="0086186A">
              <w:rPr>
                <w:rFonts w:ascii="Times New Roman" w:hAnsi="Times New Roman"/>
                <w:sz w:val="18"/>
                <w:lang w:val="hr-HR"/>
              </w:rPr>
              <w:lastRenderedPageBreak/>
              <w:t xml:space="preserve">Predloženi posebni ciljevi </w:t>
            </w:r>
            <w:r w:rsidR="00D759E1" w:rsidRPr="0086186A">
              <w:rPr>
                <w:rFonts w:ascii="Times New Roman" w:hAnsi="Times New Roman"/>
                <w:sz w:val="18"/>
                <w:lang w:val="hr-HR"/>
              </w:rPr>
              <w:t>→</w:t>
            </w:r>
          </w:p>
          <w:p w14:paraId="70D97077" w14:textId="7931F1F0" w:rsidR="00D759E1" w:rsidRPr="0086186A" w:rsidRDefault="00BC58B4" w:rsidP="00D759E1">
            <w:pPr>
              <w:pStyle w:val="SorkznlklCESCI2020"/>
              <w:rPr>
                <w:rFonts w:ascii="Times New Roman" w:hAnsi="Times New Roman"/>
                <w:b/>
                <w:sz w:val="18"/>
                <w:lang w:val="hr-HR"/>
              </w:rPr>
            </w:pPr>
            <w:r w:rsidRPr="0086186A">
              <w:rPr>
                <w:rFonts w:ascii="Times New Roman" w:hAnsi="Times New Roman"/>
                <w:sz w:val="18"/>
                <w:lang w:val="hr-HR"/>
              </w:rPr>
              <w:t>Mađarski operativni programi</w:t>
            </w:r>
            <w:r w:rsidR="00D759E1" w:rsidRPr="0086186A">
              <w:rPr>
                <w:rFonts w:ascii="Times New Roman" w:hAnsi="Times New Roman"/>
                <w:sz w:val="18"/>
                <w:lang w:val="hr-HR"/>
              </w:rPr>
              <w:t xml:space="preserve"> ↓</w:t>
            </w:r>
          </w:p>
        </w:tc>
        <w:tc>
          <w:tcPr>
            <w:tcW w:w="1401" w:type="dxa"/>
            <w:tcBorders>
              <w:bottom w:val="nil"/>
            </w:tcBorders>
            <w:shd w:val="clear" w:color="auto" w:fill="auto"/>
            <w:vAlign w:val="center"/>
            <w:hideMark/>
          </w:tcPr>
          <w:p w14:paraId="60BC7625" w14:textId="2F357D35" w:rsidR="00D759E1" w:rsidRPr="0086186A" w:rsidRDefault="00D759E1" w:rsidP="00D759E1">
            <w:pPr>
              <w:pStyle w:val="SorkznlklCESCI2020"/>
              <w:jc w:val="center"/>
              <w:rPr>
                <w:rFonts w:ascii="Times New Roman" w:hAnsi="Times New Roman"/>
                <w:b/>
                <w:sz w:val="18"/>
                <w:lang w:val="hr-HR"/>
              </w:rPr>
            </w:pPr>
            <w:r w:rsidRPr="0086186A">
              <w:rPr>
                <w:rFonts w:ascii="Times New Roman" w:hAnsi="Times New Roman"/>
                <w:b/>
                <w:sz w:val="18"/>
                <w:lang w:val="hr-HR"/>
              </w:rPr>
              <w:t>PO1 – SO …</w:t>
            </w:r>
          </w:p>
        </w:tc>
        <w:tc>
          <w:tcPr>
            <w:tcW w:w="1243" w:type="dxa"/>
            <w:tcBorders>
              <w:bottom w:val="nil"/>
            </w:tcBorders>
            <w:shd w:val="clear" w:color="auto" w:fill="auto"/>
          </w:tcPr>
          <w:p w14:paraId="5F6CF108" w14:textId="0724651B" w:rsidR="00D759E1" w:rsidRPr="0086186A" w:rsidRDefault="00D759E1" w:rsidP="00D759E1">
            <w:pPr>
              <w:pStyle w:val="SorkznlklCESCI2020"/>
              <w:jc w:val="center"/>
              <w:rPr>
                <w:rFonts w:ascii="Times New Roman" w:hAnsi="Times New Roman"/>
                <w:b/>
                <w:sz w:val="18"/>
                <w:lang w:val="hr-HR"/>
              </w:rPr>
            </w:pPr>
            <w:r w:rsidRPr="0086186A">
              <w:rPr>
                <w:rFonts w:ascii="Times New Roman" w:hAnsi="Times New Roman"/>
                <w:b/>
                <w:sz w:val="18"/>
                <w:lang w:val="hr-HR"/>
              </w:rPr>
              <w:t>PO2 – SO …</w:t>
            </w:r>
          </w:p>
        </w:tc>
        <w:tc>
          <w:tcPr>
            <w:tcW w:w="1312" w:type="dxa"/>
            <w:tcBorders>
              <w:bottom w:val="nil"/>
            </w:tcBorders>
            <w:shd w:val="clear" w:color="auto" w:fill="auto"/>
            <w:vAlign w:val="center"/>
            <w:hideMark/>
          </w:tcPr>
          <w:p w14:paraId="390D5F74" w14:textId="5CA9213C" w:rsidR="00D759E1" w:rsidRPr="0086186A" w:rsidRDefault="00D759E1" w:rsidP="00D759E1">
            <w:pPr>
              <w:pStyle w:val="SorkznlklCESCI2020"/>
              <w:jc w:val="center"/>
              <w:rPr>
                <w:rFonts w:ascii="Times New Roman" w:hAnsi="Times New Roman"/>
                <w:b/>
                <w:sz w:val="18"/>
                <w:lang w:val="hr-HR"/>
              </w:rPr>
            </w:pPr>
            <w:r w:rsidRPr="0086186A">
              <w:rPr>
                <w:rFonts w:ascii="Times New Roman" w:hAnsi="Times New Roman"/>
                <w:b/>
                <w:sz w:val="18"/>
                <w:lang w:val="hr-HR"/>
              </w:rPr>
              <w:t>PO2 – SO …</w:t>
            </w:r>
          </w:p>
        </w:tc>
        <w:tc>
          <w:tcPr>
            <w:tcW w:w="1272" w:type="dxa"/>
            <w:tcBorders>
              <w:bottom w:val="nil"/>
            </w:tcBorders>
            <w:shd w:val="clear" w:color="auto" w:fill="auto"/>
            <w:vAlign w:val="center"/>
            <w:hideMark/>
          </w:tcPr>
          <w:p w14:paraId="5113C233" w14:textId="0BD62F7B" w:rsidR="00D759E1" w:rsidRPr="0086186A" w:rsidRDefault="00D759E1" w:rsidP="00D759E1">
            <w:pPr>
              <w:pStyle w:val="SorkznlklCESCI2020"/>
              <w:jc w:val="center"/>
              <w:rPr>
                <w:rFonts w:ascii="Times New Roman" w:hAnsi="Times New Roman"/>
                <w:b/>
                <w:sz w:val="18"/>
                <w:lang w:val="hr-HR"/>
              </w:rPr>
            </w:pPr>
            <w:r w:rsidRPr="0086186A">
              <w:rPr>
                <w:rFonts w:ascii="Times New Roman" w:hAnsi="Times New Roman"/>
                <w:b/>
                <w:sz w:val="18"/>
                <w:lang w:val="hr-HR"/>
              </w:rPr>
              <w:t>PO4 – SO …</w:t>
            </w:r>
          </w:p>
        </w:tc>
        <w:tc>
          <w:tcPr>
            <w:tcW w:w="1333" w:type="dxa"/>
            <w:tcBorders>
              <w:bottom w:val="nil"/>
            </w:tcBorders>
            <w:shd w:val="clear" w:color="auto" w:fill="auto"/>
            <w:vAlign w:val="center"/>
            <w:hideMark/>
          </w:tcPr>
          <w:p w14:paraId="7E0E0F4A" w14:textId="217A219F" w:rsidR="00D759E1" w:rsidRPr="0086186A" w:rsidRDefault="00D759E1" w:rsidP="00D759E1">
            <w:pPr>
              <w:pStyle w:val="SorkznlklCESCI2020"/>
              <w:jc w:val="center"/>
              <w:rPr>
                <w:rFonts w:ascii="Times New Roman" w:hAnsi="Times New Roman"/>
                <w:b/>
                <w:sz w:val="18"/>
                <w:lang w:val="hr-HR"/>
              </w:rPr>
            </w:pPr>
            <w:r w:rsidRPr="0086186A">
              <w:rPr>
                <w:rFonts w:ascii="Times New Roman" w:hAnsi="Times New Roman"/>
                <w:b/>
                <w:sz w:val="18"/>
                <w:lang w:val="hr-HR"/>
              </w:rPr>
              <w:t>PO4 – SO …</w:t>
            </w:r>
          </w:p>
        </w:tc>
        <w:tc>
          <w:tcPr>
            <w:tcW w:w="1180" w:type="dxa"/>
            <w:tcBorders>
              <w:bottom w:val="nil"/>
            </w:tcBorders>
            <w:shd w:val="clear" w:color="auto" w:fill="auto"/>
            <w:vAlign w:val="center"/>
            <w:hideMark/>
          </w:tcPr>
          <w:p w14:paraId="7C6D983E" w14:textId="77777777" w:rsidR="00D759E1" w:rsidRPr="0086186A" w:rsidRDefault="00D759E1" w:rsidP="00D759E1">
            <w:pPr>
              <w:pStyle w:val="SorkznlklCESCI2020"/>
              <w:jc w:val="center"/>
              <w:rPr>
                <w:rFonts w:ascii="Times New Roman" w:hAnsi="Times New Roman"/>
                <w:b/>
                <w:sz w:val="18"/>
                <w:lang w:val="hr-HR"/>
              </w:rPr>
            </w:pPr>
            <w:r w:rsidRPr="0086186A">
              <w:rPr>
                <w:rFonts w:ascii="Times New Roman" w:hAnsi="Times New Roman"/>
                <w:b/>
                <w:sz w:val="18"/>
                <w:lang w:val="hr-HR"/>
              </w:rPr>
              <w:t>ISO1</w:t>
            </w:r>
          </w:p>
        </w:tc>
      </w:tr>
      <w:tr w:rsidR="00BC58B4" w:rsidRPr="0086186A" w14:paraId="7C863F99" w14:textId="77777777" w:rsidTr="00B04DD4">
        <w:trPr>
          <w:trHeight w:val="960"/>
          <w:tblHeader/>
          <w:jc w:val="center"/>
        </w:trPr>
        <w:tc>
          <w:tcPr>
            <w:tcW w:w="1604" w:type="dxa"/>
            <w:vMerge/>
            <w:shd w:val="clear" w:color="auto" w:fill="auto"/>
            <w:vAlign w:val="center"/>
            <w:hideMark/>
          </w:tcPr>
          <w:p w14:paraId="1FAE343A" w14:textId="77777777" w:rsidR="00BC58B4" w:rsidRPr="0086186A" w:rsidRDefault="00BC58B4" w:rsidP="00BC58B4">
            <w:pPr>
              <w:pStyle w:val="SorkznlklCESCI2020"/>
              <w:rPr>
                <w:rFonts w:ascii="Times New Roman" w:hAnsi="Times New Roman"/>
                <w:b/>
                <w:sz w:val="18"/>
                <w:lang w:val="hr-HR"/>
              </w:rPr>
            </w:pPr>
          </w:p>
        </w:tc>
        <w:tc>
          <w:tcPr>
            <w:tcW w:w="1401" w:type="dxa"/>
            <w:tcBorders>
              <w:top w:val="nil"/>
            </w:tcBorders>
            <w:shd w:val="clear" w:color="auto" w:fill="auto"/>
            <w:hideMark/>
          </w:tcPr>
          <w:p w14:paraId="79164F49" w14:textId="5014BAC8" w:rsidR="00BC58B4" w:rsidRPr="0086186A" w:rsidRDefault="00BC58B4" w:rsidP="00BC58B4">
            <w:pPr>
              <w:pStyle w:val="SorkznlklCESCI2020"/>
              <w:jc w:val="center"/>
              <w:rPr>
                <w:rFonts w:ascii="Times New Roman" w:hAnsi="Times New Roman"/>
                <w:sz w:val="18"/>
                <w:lang w:val="hr-HR"/>
              </w:rPr>
            </w:pPr>
            <w:r w:rsidRPr="0086186A">
              <w:rPr>
                <w:rFonts w:ascii="Times New Roman" w:hAnsi="Times New Roman" w:cs="Times New Roman"/>
                <w:sz w:val="18"/>
                <w:szCs w:val="18"/>
                <w:lang w:val="hr-HR"/>
              </w:rPr>
              <w:t xml:space="preserve">(iii) </w:t>
            </w:r>
            <w:r w:rsidRPr="0086186A">
              <w:rPr>
                <w:rFonts w:ascii="Times New Roman" w:eastAsia="Cambria" w:hAnsi="Times New Roman" w:cs="Times New Roman"/>
                <w:sz w:val="18"/>
                <w:szCs w:val="18"/>
                <w:lang w:val="hr-HR" w:eastAsia="en-US"/>
              </w:rPr>
              <w:t xml:space="preserve">Jačanje održivog rasta i konkurentnosti </w:t>
            </w:r>
            <w:proofErr w:type="spellStart"/>
            <w:r w:rsidRPr="0086186A">
              <w:rPr>
                <w:rFonts w:ascii="Times New Roman" w:eastAsia="Cambria" w:hAnsi="Times New Roman" w:cs="Times New Roman"/>
                <w:sz w:val="18"/>
                <w:szCs w:val="18"/>
                <w:lang w:val="hr-HR" w:eastAsia="en-US"/>
              </w:rPr>
              <w:t>MSP</w:t>
            </w:r>
            <w:proofErr w:type="spellEnd"/>
            <w:r w:rsidRPr="0086186A">
              <w:rPr>
                <w:rFonts w:ascii="Times New Roman" w:eastAsia="Cambria" w:hAnsi="Times New Roman" w:cs="Times New Roman"/>
                <w:sz w:val="18"/>
                <w:szCs w:val="18"/>
                <w:lang w:val="hr-HR" w:eastAsia="en-US"/>
              </w:rPr>
              <w:t xml:space="preserve">-ova i otvaranje radnih mjesta u njima, među ostalim i kroz produktivna ulaganja </w:t>
            </w:r>
          </w:p>
        </w:tc>
        <w:tc>
          <w:tcPr>
            <w:tcW w:w="1243" w:type="dxa"/>
            <w:tcBorders>
              <w:top w:val="nil"/>
            </w:tcBorders>
            <w:shd w:val="clear" w:color="auto" w:fill="auto"/>
          </w:tcPr>
          <w:p w14:paraId="321F9C6B" w14:textId="4BDC067E" w:rsidR="00BC58B4" w:rsidRPr="0086186A" w:rsidRDefault="00BC58B4" w:rsidP="00BC58B4">
            <w:pPr>
              <w:pStyle w:val="TableParagraph"/>
              <w:rPr>
                <w:rFonts w:ascii="Times New Roman" w:hAnsi="Times New Roman"/>
                <w:sz w:val="18"/>
                <w:lang w:val="hr-HR"/>
              </w:rPr>
            </w:pPr>
            <w:r w:rsidRPr="0086186A">
              <w:rPr>
                <w:rFonts w:ascii="Times New Roman" w:hAnsi="Times New Roman"/>
                <w:sz w:val="18"/>
                <w:lang w:val="hr-HR"/>
              </w:rPr>
              <w:t>(i) Promicanje mjera energetske učinkovitosti i smanjenje emisija stakleničkih plinova</w:t>
            </w:r>
          </w:p>
        </w:tc>
        <w:tc>
          <w:tcPr>
            <w:tcW w:w="1312" w:type="dxa"/>
            <w:tcBorders>
              <w:top w:val="nil"/>
            </w:tcBorders>
            <w:shd w:val="clear" w:color="auto" w:fill="auto"/>
            <w:hideMark/>
          </w:tcPr>
          <w:p w14:paraId="52F1F659" w14:textId="77777777" w:rsidR="00BC58B4" w:rsidRPr="0086186A" w:rsidRDefault="00BC58B4" w:rsidP="00BC58B4">
            <w:pPr>
              <w:pStyle w:val="TableParagraph"/>
              <w:rPr>
                <w:rFonts w:ascii="Times New Roman" w:hAnsi="Times New Roman" w:cs="Times New Roman"/>
                <w:sz w:val="18"/>
                <w:szCs w:val="18"/>
                <w:lang w:val="hr-HR"/>
              </w:rPr>
            </w:pPr>
            <w:r w:rsidRPr="0086186A">
              <w:rPr>
                <w:rFonts w:ascii="Times New Roman" w:hAnsi="Times New Roman"/>
                <w:sz w:val="18"/>
                <w:lang w:val="hr-HR"/>
              </w:rPr>
              <w:t>(</w:t>
            </w:r>
            <w:r w:rsidRPr="0086186A">
              <w:rPr>
                <w:rFonts w:ascii="Times New Roman" w:hAnsi="Times New Roman" w:cs="Times New Roman"/>
                <w:sz w:val="18"/>
                <w:szCs w:val="18"/>
                <w:lang w:val="hr-HR"/>
              </w:rPr>
              <w:t>iv) Promicanje prilagodbe klimatskim promjenama i sprječavanja rizika od katastrofa te otpornosti, uzimajući u obzir pristupe utemeljene na ekosustavima</w:t>
            </w:r>
          </w:p>
          <w:p w14:paraId="67ECA8E4" w14:textId="23613C52" w:rsidR="00BC58B4" w:rsidRPr="0086186A" w:rsidRDefault="00BC58B4" w:rsidP="00BC58B4">
            <w:pPr>
              <w:pStyle w:val="TableParagraph"/>
              <w:rPr>
                <w:rFonts w:ascii="Times New Roman" w:hAnsi="Times New Roman"/>
                <w:sz w:val="18"/>
                <w:lang w:val="hr-HR"/>
              </w:rPr>
            </w:pPr>
          </w:p>
        </w:tc>
        <w:tc>
          <w:tcPr>
            <w:tcW w:w="1272" w:type="dxa"/>
            <w:tcBorders>
              <w:top w:val="nil"/>
            </w:tcBorders>
            <w:shd w:val="clear" w:color="auto" w:fill="auto"/>
            <w:hideMark/>
          </w:tcPr>
          <w:p w14:paraId="2784A7B9" w14:textId="77777777" w:rsidR="00BC58B4" w:rsidRPr="0086186A" w:rsidRDefault="00BC58B4" w:rsidP="00BC58B4">
            <w:pPr>
              <w:pStyle w:val="TableParagraph"/>
              <w:rPr>
                <w:rFonts w:ascii="Times New Roman" w:hAnsi="Times New Roman"/>
                <w:sz w:val="18"/>
                <w:lang w:val="hr-HR"/>
              </w:rPr>
            </w:pPr>
            <w:r w:rsidRPr="0086186A">
              <w:rPr>
                <w:rFonts w:ascii="Times New Roman" w:hAnsi="Times New Roman"/>
                <w:sz w:val="18"/>
                <w:lang w:val="hr-HR"/>
              </w:rPr>
              <w:t>(vi) Jačanje uloge kulture i održivog turizma u gospodarskom razvoju, socijalnoj uključenosti i socijalnim inovacijama</w:t>
            </w:r>
          </w:p>
          <w:p w14:paraId="7D1818F4" w14:textId="096CA0A3" w:rsidR="00BC58B4" w:rsidRPr="0086186A" w:rsidRDefault="00BC58B4" w:rsidP="00BC58B4">
            <w:pPr>
              <w:pStyle w:val="SorkznlklCESCI2020"/>
              <w:jc w:val="center"/>
              <w:rPr>
                <w:rFonts w:ascii="Times New Roman" w:hAnsi="Times New Roman"/>
                <w:sz w:val="18"/>
                <w:lang w:val="hr-HR"/>
              </w:rPr>
            </w:pPr>
          </w:p>
        </w:tc>
        <w:tc>
          <w:tcPr>
            <w:tcW w:w="1333" w:type="dxa"/>
            <w:tcBorders>
              <w:top w:val="nil"/>
            </w:tcBorders>
            <w:shd w:val="clear" w:color="auto" w:fill="auto"/>
            <w:hideMark/>
          </w:tcPr>
          <w:p w14:paraId="20823896" w14:textId="2723338F" w:rsidR="00BC58B4" w:rsidRPr="0086186A" w:rsidRDefault="00BC58B4" w:rsidP="00BC58B4">
            <w:pPr>
              <w:pStyle w:val="SorkznlklCESCI2020"/>
              <w:jc w:val="center"/>
              <w:rPr>
                <w:rFonts w:ascii="Times New Roman" w:hAnsi="Times New Roman"/>
                <w:sz w:val="18"/>
                <w:lang w:val="hr-HR"/>
              </w:rPr>
            </w:pPr>
            <w:r w:rsidRPr="0086186A">
              <w:rPr>
                <w:rFonts w:ascii="Times New Roman" w:hAnsi="Times New Roman"/>
                <w:sz w:val="18"/>
                <w:lang w:val="hr-HR"/>
              </w:rPr>
              <w:t xml:space="preserve">(ii) </w:t>
            </w:r>
            <w:r w:rsidRPr="0086186A">
              <w:rPr>
                <w:rFonts w:ascii="Times New Roman" w:eastAsia="Cambria" w:hAnsi="Times New Roman" w:cs="Cambria"/>
                <w:sz w:val="18"/>
                <w:lang w:val="hr-HR" w:eastAsia="en-US"/>
              </w:rPr>
              <w:t xml:space="preserve">Poboljšanje pristupa </w:t>
            </w:r>
            <w:proofErr w:type="spellStart"/>
            <w:r w:rsidRPr="0086186A">
              <w:rPr>
                <w:rFonts w:ascii="Times New Roman" w:eastAsia="Cambria" w:hAnsi="Times New Roman" w:cs="Cambria"/>
                <w:sz w:val="18"/>
                <w:lang w:val="hr-HR" w:eastAsia="en-US"/>
              </w:rPr>
              <w:t>uključivim</w:t>
            </w:r>
            <w:proofErr w:type="spellEnd"/>
            <w:r w:rsidRPr="0086186A">
              <w:rPr>
                <w:rFonts w:ascii="Times New Roman" w:eastAsia="Cambria" w:hAnsi="Times New Roman" w:cs="Cambria"/>
                <w:sz w:val="18"/>
                <w:lang w:val="hr-HR" w:eastAsia="en-US"/>
              </w:rPr>
              <w:t xml:space="preserve"> i kvalitetnim uslugama obrazovanja, osposobljavanja i cjeloživotnog učenja razvojem infrastrukture, među ostalim jačanjem otpornosti obrazovanja i osposobljavanja na daljinu i na internetu </w:t>
            </w:r>
          </w:p>
        </w:tc>
        <w:tc>
          <w:tcPr>
            <w:tcW w:w="1180" w:type="dxa"/>
            <w:tcBorders>
              <w:top w:val="nil"/>
            </w:tcBorders>
            <w:shd w:val="clear" w:color="auto" w:fill="auto"/>
            <w:hideMark/>
          </w:tcPr>
          <w:p w14:paraId="3EC1945B" w14:textId="4DC1379A" w:rsidR="00BC58B4" w:rsidRPr="0086186A" w:rsidRDefault="00BC58B4" w:rsidP="00BC58B4">
            <w:pPr>
              <w:pStyle w:val="SorkznlklCESCI2020"/>
              <w:jc w:val="center"/>
              <w:rPr>
                <w:rFonts w:ascii="Times New Roman" w:hAnsi="Times New Roman"/>
                <w:sz w:val="18"/>
                <w:lang w:val="hr-HR"/>
              </w:rPr>
            </w:pPr>
            <w:r w:rsidRPr="0086186A">
              <w:rPr>
                <w:rFonts w:ascii="Times New Roman" w:hAnsi="Times New Roman"/>
                <w:sz w:val="18"/>
                <w:lang w:val="hr-HR"/>
              </w:rPr>
              <w:t>Bolje upravljanje suradnjom</w:t>
            </w:r>
          </w:p>
        </w:tc>
      </w:tr>
      <w:tr w:rsidR="00D759E1" w:rsidRPr="0086186A" w14:paraId="05F066BD" w14:textId="77777777" w:rsidTr="00B04DD4">
        <w:trPr>
          <w:trHeight w:val="480"/>
          <w:jc w:val="center"/>
        </w:trPr>
        <w:tc>
          <w:tcPr>
            <w:tcW w:w="1604" w:type="dxa"/>
            <w:shd w:val="clear" w:color="auto" w:fill="auto"/>
          </w:tcPr>
          <w:p w14:paraId="4542C060" w14:textId="72D79241" w:rsidR="00D759E1" w:rsidRPr="0086186A" w:rsidRDefault="00BC58B4" w:rsidP="00D759E1">
            <w:pPr>
              <w:pStyle w:val="SorkznlklCESCI2020"/>
              <w:rPr>
                <w:rFonts w:ascii="Times New Roman" w:hAnsi="Times New Roman"/>
                <w:sz w:val="18"/>
                <w:lang w:val="hr-HR"/>
              </w:rPr>
            </w:pPr>
            <w:r w:rsidRPr="0086186A">
              <w:rPr>
                <w:rFonts w:ascii="Times New Roman" w:hAnsi="Times New Roman"/>
                <w:sz w:val="18"/>
                <w:lang w:val="hr-HR"/>
              </w:rPr>
              <w:t>Digitalna obnova</w:t>
            </w:r>
            <w:r w:rsidR="00D759E1" w:rsidRPr="0086186A">
              <w:rPr>
                <w:rFonts w:ascii="Times New Roman" w:hAnsi="Times New Roman"/>
                <w:sz w:val="18"/>
                <w:lang w:val="hr-HR"/>
              </w:rPr>
              <w:t xml:space="preserve"> OP Plus</w:t>
            </w:r>
          </w:p>
        </w:tc>
        <w:tc>
          <w:tcPr>
            <w:tcW w:w="1401" w:type="dxa"/>
            <w:shd w:val="clear" w:color="auto" w:fill="auto"/>
            <w:vAlign w:val="center"/>
          </w:tcPr>
          <w:p w14:paraId="2CDAFD04" w14:textId="77777777" w:rsidR="00D759E1" w:rsidRPr="0086186A" w:rsidRDefault="00D759E1" w:rsidP="00D759E1">
            <w:pPr>
              <w:pStyle w:val="SorkznlklCESCI2020"/>
              <w:jc w:val="center"/>
              <w:rPr>
                <w:rFonts w:ascii="Times New Roman" w:hAnsi="Times New Roman"/>
                <w:b/>
                <w:sz w:val="18"/>
                <w:lang w:val="hr-HR"/>
              </w:rPr>
            </w:pPr>
            <w:r w:rsidRPr="0086186A">
              <w:rPr>
                <w:rFonts w:ascii="Times New Roman" w:hAnsi="Times New Roman"/>
                <w:b/>
                <w:sz w:val="18"/>
                <w:lang w:val="hr-HR"/>
              </w:rPr>
              <w:t>+</w:t>
            </w:r>
          </w:p>
        </w:tc>
        <w:tc>
          <w:tcPr>
            <w:tcW w:w="1243" w:type="dxa"/>
            <w:shd w:val="clear" w:color="auto" w:fill="auto"/>
            <w:vAlign w:val="center"/>
          </w:tcPr>
          <w:p w14:paraId="4FBA559F" w14:textId="73F2C506" w:rsidR="00D759E1" w:rsidRPr="0086186A" w:rsidRDefault="00AB6928" w:rsidP="00AB6928">
            <w:pPr>
              <w:pStyle w:val="SorkznlklCESCI2020"/>
              <w:jc w:val="center"/>
              <w:rPr>
                <w:rFonts w:ascii="Times New Roman" w:hAnsi="Times New Roman"/>
                <w:b/>
                <w:sz w:val="18"/>
                <w:lang w:val="hr-HR"/>
              </w:rPr>
            </w:pPr>
            <w:r w:rsidRPr="0086186A">
              <w:rPr>
                <w:rFonts w:ascii="Times New Roman" w:hAnsi="Times New Roman"/>
                <w:b/>
                <w:sz w:val="18"/>
                <w:lang w:val="hr-HR"/>
              </w:rPr>
              <w:t>+</w:t>
            </w:r>
          </w:p>
        </w:tc>
        <w:tc>
          <w:tcPr>
            <w:tcW w:w="1312" w:type="dxa"/>
            <w:shd w:val="clear" w:color="auto" w:fill="auto"/>
            <w:vAlign w:val="center"/>
          </w:tcPr>
          <w:p w14:paraId="682949A2" w14:textId="01C077A3" w:rsidR="00D759E1" w:rsidRPr="0086186A" w:rsidRDefault="00D759E1" w:rsidP="00D759E1">
            <w:pPr>
              <w:pStyle w:val="SorkznlklCESCI2020"/>
              <w:jc w:val="center"/>
              <w:rPr>
                <w:rFonts w:ascii="Times New Roman" w:hAnsi="Times New Roman"/>
                <w:b/>
                <w:sz w:val="18"/>
                <w:lang w:val="hr-HR"/>
              </w:rPr>
            </w:pPr>
            <w:r w:rsidRPr="0086186A">
              <w:rPr>
                <w:rFonts w:ascii="Times New Roman" w:hAnsi="Times New Roman"/>
                <w:b/>
                <w:sz w:val="18"/>
                <w:lang w:val="hr-HR"/>
              </w:rPr>
              <w:t>+</w:t>
            </w:r>
          </w:p>
        </w:tc>
        <w:tc>
          <w:tcPr>
            <w:tcW w:w="1272" w:type="dxa"/>
            <w:shd w:val="clear" w:color="auto" w:fill="auto"/>
            <w:vAlign w:val="center"/>
          </w:tcPr>
          <w:p w14:paraId="12FABB20" w14:textId="77777777" w:rsidR="00D759E1" w:rsidRPr="0086186A" w:rsidRDefault="00D759E1" w:rsidP="00D759E1">
            <w:pPr>
              <w:pStyle w:val="SorkznlklCESCI2020"/>
              <w:jc w:val="center"/>
              <w:rPr>
                <w:rFonts w:ascii="Times New Roman" w:hAnsi="Times New Roman"/>
                <w:b/>
                <w:sz w:val="18"/>
                <w:lang w:val="hr-HR"/>
              </w:rPr>
            </w:pPr>
            <w:r w:rsidRPr="0086186A">
              <w:rPr>
                <w:rFonts w:ascii="Times New Roman" w:hAnsi="Times New Roman"/>
                <w:b/>
                <w:sz w:val="18"/>
                <w:lang w:val="hr-HR"/>
              </w:rPr>
              <w:t>+</w:t>
            </w:r>
          </w:p>
        </w:tc>
        <w:tc>
          <w:tcPr>
            <w:tcW w:w="1333" w:type="dxa"/>
            <w:shd w:val="clear" w:color="auto" w:fill="auto"/>
            <w:vAlign w:val="center"/>
          </w:tcPr>
          <w:p w14:paraId="37E963FC" w14:textId="0DC0BC90" w:rsidR="00D759E1" w:rsidRPr="0086186A" w:rsidRDefault="00AB6928" w:rsidP="00D759E1">
            <w:pPr>
              <w:pStyle w:val="SorkznlklCESCI2020"/>
              <w:jc w:val="center"/>
              <w:rPr>
                <w:rFonts w:ascii="Times New Roman" w:hAnsi="Times New Roman"/>
                <w:b/>
                <w:sz w:val="18"/>
                <w:lang w:val="hr-HR"/>
              </w:rPr>
            </w:pPr>
            <w:r w:rsidRPr="0086186A">
              <w:rPr>
                <w:rFonts w:ascii="Times New Roman" w:hAnsi="Times New Roman"/>
                <w:b/>
                <w:sz w:val="18"/>
                <w:lang w:val="hr-HR"/>
              </w:rPr>
              <w:t>++</w:t>
            </w:r>
          </w:p>
        </w:tc>
        <w:tc>
          <w:tcPr>
            <w:tcW w:w="1180" w:type="dxa"/>
            <w:shd w:val="clear" w:color="auto" w:fill="auto"/>
            <w:vAlign w:val="center"/>
          </w:tcPr>
          <w:p w14:paraId="0FAD9E94" w14:textId="6FADC79D" w:rsidR="00D759E1" w:rsidRPr="0086186A" w:rsidRDefault="00D759E1" w:rsidP="00D759E1">
            <w:pPr>
              <w:pStyle w:val="SorkznlklCESCI2020"/>
              <w:jc w:val="center"/>
              <w:rPr>
                <w:rFonts w:ascii="Times New Roman" w:hAnsi="Times New Roman"/>
                <w:b/>
                <w:sz w:val="18"/>
                <w:lang w:val="hr-HR"/>
              </w:rPr>
            </w:pPr>
            <w:r w:rsidRPr="0086186A">
              <w:rPr>
                <w:rFonts w:ascii="Times New Roman" w:hAnsi="Times New Roman"/>
                <w:b/>
                <w:sz w:val="18"/>
                <w:lang w:val="hr-HR"/>
              </w:rPr>
              <w:t>+</w:t>
            </w:r>
            <w:r w:rsidR="00AB6928" w:rsidRPr="0086186A">
              <w:rPr>
                <w:rFonts w:ascii="Times New Roman" w:hAnsi="Times New Roman"/>
                <w:b/>
                <w:sz w:val="18"/>
                <w:lang w:val="hr-HR"/>
              </w:rPr>
              <w:t>+</w:t>
            </w:r>
          </w:p>
        </w:tc>
      </w:tr>
      <w:tr w:rsidR="00D759E1" w:rsidRPr="0086186A" w14:paraId="0A24AC30" w14:textId="77777777" w:rsidTr="00B04DD4">
        <w:trPr>
          <w:trHeight w:val="480"/>
          <w:jc w:val="center"/>
        </w:trPr>
        <w:tc>
          <w:tcPr>
            <w:tcW w:w="1604" w:type="dxa"/>
            <w:shd w:val="clear" w:color="auto" w:fill="auto"/>
          </w:tcPr>
          <w:p w14:paraId="72A2151B" w14:textId="6F81A465" w:rsidR="00D759E1" w:rsidRPr="0086186A" w:rsidRDefault="00BC58B4" w:rsidP="00D759E1">
            <w:pPr>
              <w:pStyle w:val="SorkznlklCESCI2020"/>
              <w:rPr>
                <w:rFonts w:ascii="Times New Roman" w:hAnsi="Times New Roman"/>
                <w:sz w:val="18"/>
                <w:lang w:val="hr-HR"/>
              </w:rPr>
            </w:pPr>
            <w:r w:rsidRPr="0086186A">
              <w:rPr>
                <w:rFonts w:ascii="Times New Roman" w:hAnsi="Times New Roman"/>
                <w:sz w:val="18"/>
                <w:lang w:val="hr-HR"/>
              </w:rPr>
              <w:t>Razvoj ljudskih resursa</w:t>
            </w:r>
            <w:r w:rsidR="00D759E1" w:rsidRPr="0086186A">
              <w:rPr>
                <w:rFonts w:ascii="Times New Roman" w:hAnsi="Times New Roman"/>
                <w:sz w:val="18"/>
                <w:lang w:val="hr-HR"/>
              </w:rPr>
              <w:t xml:space="preserve"> OP Plus</w:t>
            </w:r>
          </w:p>
        </w:tc>
        <w:tc>
          <w:tcPr>
            <w:tcW w:w="1401" w:type="dxa"/>
            <w:shd w:val="clear" w:color="auto" w:fill="auto"/>
            <w:vAlign w:val="center"/>
          </w:tcPr>
          <w:p w14:paraId="4F10B2B4" w14:textId="77777777" w:rsidR="00D759E1" w:rsidRPr="0086186A" w:rsidRDefault="00D759E1" w:rsidP="00D759E1">
            <w:pPr>
              <w:pStyle w:val="SorkznlklCESCI2020"/>
              <w:jc w:val="center"/>
              <w:rPr>
                <w:rFonts w:ascii="Times New Roman" w:hAnsi="Times New Roman"/>
                <w:b/>
                <w:sz w:val="18"/>
                <w:lang w:val="hr-HR"/>
              </w:rPr>
            </w:pPr>
          </w:p>
        </w:tc>
        <w:tc>
          <w:tcPr>
            <w:tcW w:w="1243" w:type="dxa"/>
            <w:shd w:val="clear" w:color="auto" w:fill="auto"/>
          </w:tcPr>
          <w:p w14:paraId="7E9FCDB4" w14:textId="77777777" w:rsidR="00D759E1" w:rsidRPr="0086186A" w:rsidRDefault="00D759E1" w:rsidP="00D759E1">
            <w:pPr>
              <w:pStyle w:val="SorkznlklCESCI2020"/>
              <w:jc w:val="center"/>
              <w:rPr>
                <w:rFonts w:ascii="Times New Roman" w:hAnsi="Times New Roman"/>
                <w:b/>
                <w:sz w:val="18"/>
                <w:lang w:val="hr-HR"/>
              </w:rPr>
            </w:pPr>
          </w:p>
        </w:tc>
        <w:tc>
          <w:tcPr>
            <w:tcW w:w="1312" w:type="dxa"/>
            <w:shd w:val="clear" w:color="auto" w:fill="auto"/>
            <w:vAlign w:val="center"/>
          </w:tcPr>
          <w:p w14:paraId="4EA49402" w14:textId="5032A126" w:rsidR="00D759E1" w:rsidRPr="0086186A" w:rsidRDefault="00AB6928" w:rsidP="00D759E1">
            <w:pPr>
              <w:pStyle w:val="SorkznlklCESCI2020"/>
              <w:jc w:val="center"/>
              <w:rPr>
                <w:rFonts w:ascii="Times New Roman" w:hAnsi="Times New Roman"/>
                <w:b/>
                <w:sz w:val="18"/>
                <w:lang w:val="hr-HR"/>
              </w:rPr>
            </w:pPr>
            <w:r w:rsidRPr="0086186A">
              <w:rPr>
                <w:rFonts w:ascii="Times New Roman" w:hAnsi="Times New Roman"/>
                <w:b/>
                <w:sz w:val="18"/>
                <w:lang w:val="hr-HR"/>
              </w:rPr>
              <w:t>+</w:t>
            </w:r>
          </w:p>
        </w:tc>
        <w:tc>
          <w:tcPr>
            <w:tcW w:w="1272" w:type="dxa"/>
            <w:shd w:val="clear" w:color="auto" w:fill="auto"/>
            <w:vAlign w:val="center"/>
          </w:tcPr>
          <w:p w14:paraId="1ACEEACB" w14:textId="77777777" w:rsidR="00D759E1" w:rsidRPr="0086186A" w:rsidRDefault="00D759E1" w:rsidP="00D759E1">
            <w:pPr>
              <w:pStyle w:val="SorkznlklCESCI2020"/>
              <w:jc w:val="center"/>
              <w:rPr>
                <w:rFonts w:ascii="Times New Roman" w:hAnsi="Times New Roman"/>
                <w:b/>
                <w:sz w:val="18"/>
                <w:lang w:val="hr-HR"/>
              </w:rPr>
            </w:pPr>
            <w:r w:rsidRPr="0086186A">
              <w:rPr>
                <w:rFonts w:ascii="Times New Roman" w:hAnsi="Times New Roman"/>
                <w:b/>
                <w:sz w:val="18"/>
                <w:lang w:val="hr-HR"/>
              </w:rPr>
              <w:t>+</w:t>
            </w:r>
          </w:p>
        </w:tc>
        <w:tc>
          <w:tcPr>
            <w:tcW w:w="1333" w:type="dxa"/>
            <w:shd w:val="clear" w:color="auto" w:fill="auto"/>
            <w:vAlign w:val="center"/>
          </w:tcPr>
          <w:p w14:paraId="0F122DF7" w14:textId="090BEFFB" w:rsidR="00D759E1" w:rsidRPr="0086186A" w:rsidRDefault="00D759E1" w:rsidP="00D759E1">
            <w:pPr>
              <w:pStyle w:val="SorkznlklCESCI2020"/>
              <w:jc w:val="center"/>
              <w:rPr>
                <w:rFonts w:ascii="Times New Roman" w:hAnsi="Times New Roman"/>
                <w:b/>
                <w:sz w:val="18"/>
                <w:lang w:val="hr-HR"/>
              </w:rPr>
            </w:pPr>
            <w:r w:rsidRPr="0086186A">
              <w:rPr>
                <w:rFonts w:ascii="Times New Roman" w:hAnsi="Times New Roman"/>
                <w:b/>
                <w:sz w:val="18"/>
                <w:lang w:val="hr-HR"/>
              </w:rPr>
              <w:t>+</w:t>
            </w:r>
            <w:r w:rsidR="00AB6928" w:rsidRPr="0086186A">
              <w:rPr>
                <w:rFonts w:ascii="Times New Roman" w:hAnsi="Times New Roman"/>
                <w:b/>
                <w:sz w:val="18"/>
                <w:lang w:val="hr-HR"/>
              </w:rPr>
              <w:t>+</w:t>
            </w:r>
          </w:p>
        </w:tc>
        <w:tc>
          <w:tcPr>
            <w:tcW w:w="1180" w:type="dxa"/>
            <w:shd w:val="clear" w:color="auto" w:fill="auto"/>
            <w:vAlign w:val="center"/>
          </w:tcPr>
          <w:p w14:paraId="477A0365" w14:textId="4C433F7E" w:rsidR="00D759E1" w:rsidRPr="0086186A" w:rsidRDefault="00AB6928" w:rsidP="00D759E1">
            <w:pPr>
              <w:pStyle w:val="SorkznlklCESCI2020"/>
              <w:jc w:val="center"/>
              <w:rPr>
                <w:rFonts w:ascii="Times New Roman" w:hAnsi="Times New Roman"/>
                <w:b/>
                <w:sz w:val="18"/>
                <w:lang w:val="hr-HR"/>
              </w:rPr>
            </w:pPr>
            <w:r w:rsidRPr="0086186A">
              <w:rPr>
                <w:rFonts w:ascii="Times New Roman" w:hAnsi="Times New Roman"/>
                <w:b/>
                <w:sz w:val="18"/>
                <w:lang w:val="hr-HR"/>
              </w:rPr>
              <w:t>+</w:t>
            </w:r>
          </w:p>
        </w:tc>
      </w:tr>
      <w:tr w:rsidR="00D759E1" w:rsidRPr="0086186A" w14:paraId="5E41CB86" w14:textId="77777777" w:rsidTr="00B04DD4">
        <w:trPr>
          <w:trHeight w:val="300"/>
          <w:jc w:val="center"/>
        </w:trPr>
        <w:tc>
          <w:tcPr>
            <w:tcW w:w="1604" w:type="dxa"/>
            <w:shd w:val="clear" w:color="auto" w:fill="auto"/>
          </w:tcPr>
          <w:p w14:paraId="3BEE61F6" w14:textId="120C6041" w:rsidR="00D759E1" w:rsidRPr="0086186A" w:rsidRDefault="00BC58B4" w:rsidP="00D759E1">
            <w:pPr>
              <w:pStyle w:val="SorkznlklCESCI2020"/>
              <w:rPr>
                <w:rFonts w:ascii="Times New Roman" w:hAnsi="Times New Roman"/>
                <w:sz w:val="18"/>
                <w:lang w:val="hr-HR"/>
              </w:rPr>
            </w:pPr>
            <w:r w:rsidRPr="0086186A">
              <w:rPr>
                <w:rFonts w:ascii="Times New Roman" w:hAnsi="Times New Roman"/>
                <w:sz w:val="18"/>
                <w:lang w:val="hr-HR"/>
              </w:rPr>
              <w:t>Gospodarski razvoj i inovacije</w:t>
            </w:r>
            <w:r w:rsidR="00D759E1" w:rsidRPr="0086186A">
              <w:rPr>
                <w:rFonts w:ascii="Times New Roman" w:hAnsi="Times New Roman"/>
                <w:sz w:val="18"/>
                <w:lang w:val="hr-HR"/>
              </w:rPr>
              <w:t xml:space="preserve"> OP Plus</w:t>
            </w:r>
          </w:p>
        </w:tc>
        <w:tc>
          <w:tcPr>
            <w:tcW w:w="1401" w:type="dxa"/>
            <w:shd w:val="clear" w:color="auto" w:fill="auto"/>
            <w:vAlign w:val="center"/>
          </w:tcPr>
          <w:p w14:paraId="433100DF" w14:textId="5687F6C8" w:rsidR="00D759E1" w:rsidRPr="0086186A" w:rsidRDefault="00D759E1" w:rsidP="00D759E1">
            <w:pPr>
              <w:pStyle w:val="SorkznlklCESCI2020"/>
              <w:jc w:val="center"/>
              <w:rPr>
                <w:rFonts w:ascii="Times New Roman" w:hAnsi="Times New Roman"/>
                <w:b/>
                <w:sz w:val="18"/>
                <w:lang w:val="hr-HR"/>
              </w:rPr>
            </w:pPr>
            <w:r w:rsidRPr="0086186A">
              <w:rPr>
                <w:rFonts w:ascii="Times New Roman" w:hAnsi="Times New Roman"/>
                <w:b/>
                <w:sz w:val="18"/>
                <w:lang w:val="hr-HR"/>
              </w:rPr>
              <w:t>+</w:t>
            </w:r>
          </w:p>
        </w:tc>
        <w:tc>
          <w:tcPr>
            <w:tcW w:w="1243" w:type="dxa"/>
            <w:shd w:val="clear" w:color="auto" w:fill="auto"/>
            <w:vAlign w:val="center"/>
          </w:tcPr>
          <w:p w14:paraId="3E8A38E6" w14:textId="64234C21" w:rsidR="00D759E1" w:rsidRPr="0086186A" w:rsidRDefault="00D759E1" w:rsidP="00D759E1">
            <w:pPr>
              <w:pStyle w:val="SorkznlklCESCI2020"/>
              <w:jc w:val="center"/>
              <w:rPr>
                <w:rFonts w:ascii="Times New Roman" w:hAnsi="Times New Roman"/>
                <w:b/>
                <w:sz w:val="18"/>
                <w:lang w:val="hr-HR"/>
              </w:rPr>
            </w:pPr>
          </w:p>
        </w:tc>
        <w:tc>
          <w:tcPr>
            <w:tcW w:w="1312" w:type="dxa"/>
            <w:shd w:val="clear" w:color="auto" w:fill="auto"/>
            <w:vAlign w:val="center"/>
          </w:tcPr>
          <w:p w14:paraId="49FB3112" w14:textId="53A365EE" w:rsidR="00D759E1" w:rsidRPr="0086186A" w:rsidRDefault="00D759E1" w:rsidP="00D759E1">
            <w:pPr>
              <w:pStyle w:val="SorkznlklCESCI2020"/>
              <w:jc w:val="center"/>
              <w:rPr>
                <w:rFonts w:ascii="Times New Roman" w:hAnsi="Times New Roman"/>
                <w:b/>
                <w:sz w:val="18"/>
                <w:lang w:val="hr-HR"/>
              </w:rPr>
            </w:pPr>
          </w:p>
        </w:tc>
        <w:tc>
          <w:tcPr>
            <w:tcW w:w="1272" w:type="dxa"/>
            <w:shd w:val="clear" w:color="auto" w:fill="auto"/>
            <w:vAlign w:val="center"/>
          </w:tcPr>
          <w:p w14:paraId="44965302" w14:textId="261B2574" w:rsidR="00D759E1" w:rsidRPr="0086186A" w:rsidRDefault="00D759E1" w:rsidP="00D759E1">
            <w:pPr>
              <w:pStyle w:val="SorkznlklCESCI2020"/>
              <w:jc w:val="center"/>
              <w:rPr>
                <w:rFonts w:ascii="Times New Roman" w:hAnsi="Times New Roman"/>
                <w:b/>
                <w:sz w:val="18"/>
                <w:lang w:val="hr-HR"/>
              </w:rPr>
            </w:pPr>
            <w:r w:rsidRPr="0086186A">
              <w:rPr>
                <w:rFonts w:ascii="Times New Roman" w:hAnsi="Times New Roman"/>
                <w:b/>
                <w:sz w:val="18"/>
                <w:lang w:val="hr-HR"/>
              </w:rPr>
              <w:t>+</w:t>
            </w:r>
            <w:r w:rsidR="009C4992" w:rsidRPr="0086186A">
              <w:rPr>
                <w:rFonts w:ascii="Times New Roman" w:hAnsi="Times New Roman"/>
                <w:b/>
                <w:sz w:val="18"/>
                <w:lang w:val="hr-HR"/>
              </w:rPr>
              <w:t>+</w:t>
            </w:r>
          </w:p>
        </w:tc>
        <w:tc>
          <w:tcPr>
            <w:tcW w:w="1333" w:type="dxa"/>
            <w:shd w:val="clear" w:color="auto" w:fill="auto"/>
            <w:vAlign w:val="center"/>
          </w:tcPr>
          <w:p w14:paraId="55FB5AE7" w14:textId="503D8F68" w:rsidR="00D759E1" w:rsidRPr="0086186A" w:rsidRDefault="009C4992" w:rsidP="00D759E1">
            <w:pPr>
              <w:pStyle w:val="SorkznlklCESCI2020"/>
              <w:jc w:val="center"/>
              <w:rPr>
                <w:rFonts w:ascii="Times New Roman" w:hAnsi="Times New Roman"/>
                <w:b/>
                <w:sz w:val="18"/>
                <w:lang w:val="hr-HR"/>
              </w:rPr>
            </w:pPr>
            <w:r w:rsidRPr="0086186A">
              <w:rPr>
                <w:rFonts w:ascii="Times New Roman" w:hAnsi="Times New Roman"/>
                <w:b/>
                <w:sz w:val="18"/>
                <w:lang w:val="hr-HR"/>
              </w:rPr>
              <w:t>+</w:t>
            </w:r>
            <w:r w:rsidR="00D759E1" w:rsidRPr="0086186A">
              <w:rPr>
                <w:rFonts w:ascii="Times New Roman" w:hAnsi="Times New Roman"/>
                <w:b/>
                <w:sz w:val="18"/>
                <w:lang w:val="hr-HR"/>
              </w:rPr>
              <w:t>+</w:t>
            </w:r>
          </w:p>
        </w:tc>
        <w:tc>
          <w:tcPr>
            <w:tcW w:w="1180" w:type="dxa"/>
            <w:shd w:val="clear" w:color="auto" w:fill="auto"/>
            <w:vAlign w:val="center"/>
          </w:tcPr>
          <w:p w14:paraId="26DB2E54" w14:textId="1CA127B6" w:rsidR="00D759E1" w:rsidRPr="0086186A" w:rsidRDefault="009C4992" w:rsidP="00D759E1">
            <w:pPr>
              <w:pStyle w:val="SorkznlklCESCI2020"/>
              <w:jc w:val="center"/>
              <w:rPr>
                <w:rFonts w:ascii="Times New Roman" w:hAnsi="Times New Roman"/>
                <w:b/>
                <w:sz w:val="18"/>
                <w:lang w:val="hr-HR"/>
              </w:rPr>
            </w:pPr>
            <w:r w:rsidRPr="0086186A">
              <w:rPr>
                <w:rFonts w:ascii="Times New Roman" w:hAnsi="Times New Roman"/>
                <w:b/>
                <w:sz w:val="18"/>
                <w:lang w:val="hr-HR"/>
              </w:rPr>
              <w:t>+</w:t>
            </w:r>
          </w:p>
        </w:tc>
      </w:tr>
      <w:tr w:rsidR="00D759E1" w:rsidRPr="0086186A" w14:paraId="2596D249" w14:textId="77777777" w:rsidTr="00B04DD4">
        <w:trPr>
          <w:trHeight w:val="481"/>
          <w:jc w:val="center"/>
        </w:trPr>
        <w:tc>
          <w:tcPr>
            <w:tcW w:w="1604" w:type="dxa"/>
            <w:shd w:val="clear" w:color="auto" w:fill="auto"/>
          </w:tcPr>
          <w:p w14:paraId="1D29B8C3" w14:textId="6DD69720" w:rsidR="00D759E1" w:rsidRPr="0086186A" w:rsidRDefault="00D759E1" w:rsidP="00D759E1">
            <w:pPr>
              <w:pStyle w:val="SorkznlklCESCI2020"/>
              <w:rPr>
                <w:rFonts w:ascii="Times New Roman" w:hAnsi="Times New Roman"/>
                <w:sz w:val="18"/>
                <w:lang w:val="hr-HR"/>
              </w:rPr>
            </w:pPr>
            <w:r w:rsidRPr="0086186A">
              <w:rPr>
                <w:rFonts w:ascii="Times New Roman" w:hAnsi="Times New Roman"/>
                <w:sz w:val="18"/>
                <w:lang w:val="hr-HR"/>
              </w:rPr>
              <w:t>Integr</w:t>
            </w:r>
            <w:r w:rsidR="00BC58B4" w:rsidRPr="0086186A">
              <w:rPr>
                <w:rFonts w:ascii="Times New Roman" w:hAnsi="Times New Roman"/>
                <w:sz w:val="18"/>
                <w:lang w:val="hr-HR"/>
              </w:rPr>
              <w:t>irani promet</w:t>
            </w:r>
            <w:r w:rsidRPr="0086186A">
              <w:rPr>
                <w:rFonts w:ascii="Times New Roman" w:hAnsi="Times New Roman"/>
                <w:sz w:val="18"/>
                <w:lang w:val="hr-HR"/>
              </w:rPr>
              <w:t xml:space="preserve"> OP Plus</w:t>
            </w:r>
          </w:p>
        </w:tc>
        <w:tc>
          <w:tcPr>
            <w:tcW w:w="1401" w:type="dxa"/>
            <w:shd w:val="clear" w:color="auto" w:fill="auto"/>
            <w:vAlign w:val="center"/>
          </w:tcPr>
          <w:p w14:paraId="64A1C596" w14:textId="77777777" w:rsidR="00D759E1" w:rsidRPr="0086186A" w:rsidRDefault="00D759E1" w:rsidP="00D759E1">
            <w:pPr>
              <w:pStyle w:val="SorkznlklCESCI2020"/>
              <w:jc w:val="center"/>
              <w:rPr>
                <w:rFonts w:ascii="Times New Roman" w:hAnsi="Times New Roman"/>
                <w:b/>
                <w:sz w:val="18"/>
                <w:lang w:val="hr-HR"/>
              </w:rPr>
            </w:pPr>
          </w:p>
        </w:tc>
        <w:tc>
          <w:tcPr>
            <w:tcW w:w="1243" w:type="dxa"/>
            <w:shd w:val="clear" w:color="auto" w:fill="auto"/>
            <w:vAlign w:val="center"/>
          </w:tcPr>
          <w:p w14:paraId="6C591A15" w14:textId="1B266388" w:rsidR="00D759E1" w:rsidRPr="0086186A" w:rsidRDefault="009C4992" w:rsidP="009C4992">
            <w:pPr>
              <w:pStyle w:val="SorkznlklCESCI2020"/>
              <w:jc w:val="center"/>
              <w:rPr>
                <w:rFonts w:ascii="Times New Roman" w:hAnsi="Times New Roman"/>
                <w:b/>
                <w:sz w:val="18"/>
                <w:lang w:val="hr-HR"/>
              </w:rPr>
            </w:pPr>
            <w:r w:rsidRPr="0086186A">
              <w:rPr>
                <w:rFonts w:ascii="Times New Roman" w:hAnsi="Times New Roman"/>
                <w:b/>
                <w:sz w:val="18"/>
                <w:lang w:val="hr-HR"/>
              </w:rPr>
              <w:t>+</w:t>
            </w:r>
          </w:p>
        </w:tc>
        <w:tc>
          <w:tcPr>
            <w:tcW w:w="1312" w:type="dxa"/>
            <w:shd w:val="clear" w:color="auto" w:fill="auto"/>
            <w:vAlign w:val="center"/>
          </w:tcPr>
          <w:p w14:paraId="2D2606E7" w14:textId="57B59670" w:rsidR="00D759E1" w:rsidRPr="0086186A" w:rsidRDefault="00D759E1" w:rsidP="00D759E1">
            <w:pPr>
              <w:pStyle w:val="SorkznlklCESCI2020"/>
              <w:jc w:val="center"/>
              <w:rPr>
                <w:rFonts w:ascii="Times New Roman" w:hAnsi="Times New Roman"/>
                <w:b/>
                <w:sz w:val="18"/>
                <w:lang w:val="hr-HR"/>
              </w:rPr>
            </w:pPr>
          </w:p>
        </w:tc>
        <w:tc>
          <w:tcPr>
            <w:tcW w:w="1272" w:type="dxa"/>
            <w:shd w:val="clear" w:color="auto" w:fill="auto"/>
            <w:vAlign w:val="center"/>
          </w:tcPr>
          <w:p w14:paraId="26E3859D" w14:textId="791B1CA2" w:rsidR="00D759E1" w:rsidRPr="0086186A" w:rsidRDefault="009C4992" w:rsidP="00D759E1">
            <w:pPr>
              <w:pStyle w:val="SorkznlklCESCI2020"/>
              <w:jc w:val="center"/>
              <w:rPr>
                <w:rFonts w:ascii="Times New Roman" w:hAnsi="Times New Roman"/>
                <w:b/>
                <w:sz w:val="18"/>
                <w:lang w:val="hr-HR"/>
              </w:rPr>
            </w:pPr>
            <w:r w:rsidRPr="0086186A">
              <w:rPr>
                <w:rFonts w:ascii="Times New Roman" w:hAnsi="Times New Roman"/>
                <w:b/>
                <w:sz w:val="18"/>
                <w:lang w:val="hr-HR"/>
              </w:rPr>
              <w:t>++</w:t>
            </w:r>
          </w:p>
        </w:tc>
        <w:tc>
          <w:tcPr>
            <w:tcW w:w="1333" w:type="dxa"/>
            <w:shd w:val="clear" w:color="auto" w:fill="auto"/>
            <w:vAlign w:val="center"/>
          </w:tcPr>
          <w:p w14:paraId="0189ACA2" w14:textId="77777777" w:rsidR="00D759E1" w:rsidRPr="0086186A" w:rsidRDefault="00D759E1" w:rsidP="00D759E1">
            <w:pPr>
              <w:pStyle w:val="SorkznlklCESCI2020"/>
              <w:jc w:val="center"/>
              <w:rPr>
                <w:rFonts w:ascii="Times New Roman" w:hAnsi="Times New Roman"/>
                <w:b/>
                <w:sz w:val="18"/>
                <w:lang w:val="hr-HR"/>
              </w:rPr>
            </w:pPr>
          </w:p>
        </w:tc>
        <w:tc>
          <w:tcPr>
            <w:tcW w:w="1180" w:type="dxa"/>
            <w:shd w:val="clear" w:color="auto" w:fill="auto"/>
            <w:vAlign w:val="center"/>
          </w:tcPr>
          <w:p w14:paraId="19B0791A" w14:textId="77777777" w:rsidR="00D759E1" w:rsidRPr="0086186A" w:rsidRDefault="00D759E1" w:rsidP="00D759E1">
            <w:pPr>
              <w:pStyle w:val="SorkznlklCESCI2020"/>
              <w:jc w:val="center"/>
              <w:rPr>
                <w:rFonts w:ascii="Times New Roman" w:hAnsi="Times New Roman"/>
                <w:b/>
                <w:sz w:val="18"/>
                <w:lang w:val="hr-HR"/>
              </w:rPr>
            </w:pPr>
          </w:p>
        </w:tc>
      </w:tr>
      <w:tr w:rsidR="00D759E1" w:rsidRPr="0086186A" w14:paraId="37B62FCA" w14:textId="77777777" w:rsidTr="00B04DD4">
        <w:trPr>
          <w:trHeight w:val="960"/>
          <w:jc w:val="center"/>
        </w:trPr>
        <w:tc>
          <w:tcPr>
            <w:tcW w:w="1604" w:type="dxa"/>
            <w:shd w:val="clear" w:color="auto" w:fill="auto"/>
          </w:tcPr>
          <w:p w14:paraId="260DFEE5" w14:textId="4346AEF0" w:rsidR="00D759E1" w:rsidRPr="0086186A" w:rsidRDefault="002C0EC7" w:rsidP="00D759E1">
            <w:pPr>
              <w:pStyle w:val="SorkznlklCESCI2020"/>
              <w:rPr>
                <w:rFonts w:ascii="Times New Roman" w:hAnsi="Times New Roman"/>
                <w:sz w:val="18"/>
                <w:lang w:val="hr-HR"/>
              </w:rPr>
            </w:pPr>
            <w:r w:rsidRPr="0086186A">
              <w:rPr>
                <w:rFonts w:ascii="Times New Roman" w:hAnsi="Times New Roman"/>
                <w:sz w:val="18"/>
                <w:lang w:val="hr-HR"/>
              </w:rPr>
              <w:t>Ekološka i energetska učinkovitost</w:t>
            </w:r>
            <w:r w:rsidR="00D759E1" w:rsidRPr="0086186A">
              <w:rPr>
                <w:rFonts w:ascii="Times New Roman" w:hAnsi="Times New Roman"/>
                <w:sz w:val="18"/>
                <w:lang w:val="hr-HR"/>
              </w:rPr>
              <w:t xml:space="preserve"> OP Plus</w:t>
            </w:r>
          </w:p>
        </w:tc>
        <w:tc>
          <w:tcPr>
            <w:tcW w:w="1401" w:type="dxa"/>
            <w:shd w:val="clear" w:color="auto" w:fill="auto"/>
            <w:vAlign w:val="center"/>
          </w:tcPr>
          <w:p w14:paraId="01F85426" w14:textId="3C0856C1" w:rsidR="00D759E1" w:rsidRPr="0086186A" w:rsidRDefault="009C4992" w:rsidP="00D759E1">
            <w:pPr>
              <w:pStyle w:val="SorkznlklCESCI2020"/>
              <w:jc w:val="center"/>
              <w:rPr>
                <w:rFonts w:ascii="Times New Roman" w:hAnsi="Times New Roman"/>
                <w:b/>
                <w:sz w:val="18"/>
                <w:lang w:val="hr-HR"/>
              </w:rPr>
            </w:pPr>
            <w:r w:rsidRPr="0086186A">
              <w:rPr>
                <w:rFonts w:ascii="Times New Roman" w:hAnsi="Times New Roman"/>
                <w:b/>
                <w:sz w:val="18"/>
                <w:lang w:val="hr-HR"/>
              </w:rPr>
              <w:t>+</w:t>
            </w:r>
          </w:p>
        </w:tc>
        <w:tc>
          <w:tcPr>
            <w:tcW w:w="1243" w:type="dxa"/>
            <w:shd w:val="clear" w:color="auto" w:fill="auto"/>
            <w:vAlign w:val="center"/>
          </w:tcPr>
          <w:p w14:paraId="10E42F47" w14:textId="0C0BDF6E" w:rsidR="00D759E1" w:rsidRPr="0086186A" w:rsidRDefault="009C4992" w:rsidP="00D759E1">
            <w:pPr>
              <w:pStyle w:val="SorkznlklCESCI2020"/>
              <w:jc w:val="center"/>
              <w:rPr>
                <w:rFonts w:ascii="Times New Roman" w:hAnsi="Times New Roman"/>
                <w:b/>
                <w:sz w:val="18"/>
                <w:lang w:val="hr-HR"/>
              </w:rPr>
            </w:pPr>
            <w:r w:rsidRPr="0086186A">
              <w:rPr>
                <w:rFonts w:ascii="Times New Roman" w:hAnsi="Times New Roman"/>
                <w:b/>
                <w:sz w:val="18"/>
                <w:lang w:val="hr-HR"/>
              </w:rPr>
              <w:t>+</w:t>
            </w:r>
            <w:r w:rsidR="00D759E1" w:rsidRPr="0086186A">
              <w:rPr>
                <w:rFonts w:ascii="Times New Roman" w:hAnsi="Times New Roman"/>
                <w:b/>
                <w:sz w:val="18"/>
                <w:lang w:val="hr-HR"/>
              </w:rPr>
              <w:t>+</w:t>
            </w:r>
          </w:p>
        </w:tc>
        <w:tc>
          <w:tcPr>
            <w:tcW w:w="1312" w:type="dxa"/>
            <w:shd w:val="clear" w:color="auto" w:fill="auto"/>
            <w:vAlign w:val="center"/>
          </w:tcPr>
          <w:p w14:paraId="2EC0F36F" w14:textId="2E76F44B" w:rsidR="00D759E1" w:rsidRPr="0086186A" w:rsidRDefault="009C4992" w:rsidP="00D759E1">
            <w:pPr>
              <w:pStyle w:val="SorkznlklCESCI2020"/>
              <w:jc w:val="center"/>
              <w:rPr>
                <w:rFonts w:ascii="Times New Roman" w:hAnsi="Times New Roman"/>
                <w:b/>
                <w:sz w:val="18"/>
                <w:lang w:val="hr-HR"/>
              </w:rPr>
            </w:pPr>
            <w:r w:rsidRPr="0086186A">
              <w:rPr>
                <w:rFonts w:ascii="Times New Roman" w:hAnsi="Times New Roman"/>
                <w:b/>
                <w:sz w:val="18"/>
                <w:lang w:val="hr-HR"/>
              </w:rPr>
              <w:t>+</w:t>
            </w:r>
            <w:r w:rsidR="00D759E1" w:rsidRPr="0086186A">
              <w:rPr>
                <w:rFonts w:ascii="Times New Roman" w:hAnsi="Times New Roman"/>
                <w:b/>
                <w:sz w:val="18"/>
                <w:lang w:val="hr-HR"/>
              </w:rPr>
              <w:t>+</w:t>
            </w:r>
          </w:p>
        </w:tc>
        <w:tc>
          <w:tcPr>
            <w:tcW w:w="1272" w:type="dxa"/>
            <w:shd w:val="clear" w:color="auto" w:fill="auto"/>
            <w:vAlign w:val="center"/>
          </w:tcPr>
          <w:p w14:paraId="3B47BF4F" w14:textId="32EBCD2B" w:rsidR="00D759E1" w:rsidRPr="0086186A" w:rsidRDefault="00D759E1" w:rsidP="00D759E1">
            <w:pPr>
              <w:pStyle w:val="SorkznlklCESCI2020"/>
              <w:jc w:val="center"/>
              <w:rPr>
                <w:rFonts w:ascii="Times New Roman" w:hAnsi="Times New Roman"/>
                <w:b/>
                <w:sz w:val="18"/>
                <w:lang w:val="hr-HR"/>
              </w:rPr>
            </w:pPr>
            <w:r w:rsidRPr="0086186A">
              <w:rPr>
                <w:rFonts w:ascii="Times New Roman" w:hAnsi="Times New Roman"/>
                <w:b/>
                <w:sz w:val="18"/>
                <w:lang w:val="hr-HR"/>
              </w:rPr>
              <w:t>+</w:t>
            </w:r>
          </w:p>
        </w:tc>
        <w:tc>
          <w:tcPr>
            <w:tcW w:w="1333" w:type="dxa"/>
            <w:shd w:val="clear" w:color="auto" w:fill="auto"/>
            <w:vAlign w:val="center"/>
          </w:tcPr>
          <w:p w14:paraId="4A830198" w14:textId="77777777" w:rsidR="00D759E1" w:rsidRPr="0086186A" w:rsidRDefault="00D759E1" w:rsidP="00D759E1">
            <w:pPr>
              <w:pStyle w:val="SorkznlklCESCI2020"/>
              <w:jc w:val="center"/>
              <w:rPr>
                <w:rFonts w:ascii="Times New Roman" w:hAnsi="Times New Roman"/>
                <w:b/>
                <w:sz w:val="18"/>
                <w:lang w:val="hr-HR"/>
              </w:rPr>
            </w:pPr>
          </w:p>
        </w:tc>
        <w:tc>
          <w:tcPr>
            <w:tcW w:w="1180" w:type="dxa"/>
            <w:shd w:val="clear" w:color="auto" w:fill="auto"/>
            <w:vAlign w:val="center"/>
          </w:tcPr>
          <w:p w14:paraId="1EE0F5BE" w14:textId="238C8495" w:rsidR="00D759E1" w:rsidRPr="0086186A" w:rsidRDefault="009C4992" w:rsidP="00D759E1">
            <w:pPr>
              <w:pStyle w:val="SorkznlklCESCI2020"/>
              <w:jc w:val="center"/>
              <w:rPr>
                <w:rFonts w:ascii="Times New Roman" w:hAnsi="Times New Roman"/>
                <w:b/>
                <w:sz w:val="18"/>
                <w:lang w:val="hr-HR"/>
              </w:rPr>
            </w:pPr>
            <w:r w:rsidRPr="0086186A">
              <w:rPr>
                <w:rFonts w:ascii="Times New Roman" w:hAnsi="Times New Roman"/>
                <w:b/>
                <w:sz w:val="18"/>
                <w:lang w:val="hr-HR"/>
              </w:rPr>
              <w:t>+</w:t>
            </w:r>
          </w:p>
        </w:tc>
      </w:tr>
      <w:tr w:rsidR="00D759E1" w:rsidRPr="0086186A" w14:paraId="2AB8244F" w14:textId="77777777" w:rsidTr="00B04DD4">
        <w:trPr>
          <w:trHeight w:val="480"/>
          <w:jc w:val="center"/>
        </w:trPr>
        <w:tc>
          <w:tcPr>
            <w:tcW w:w="1604" w:type="dxa"/>
            <w:shd w:val="clear" w:color="auto" w:fill="auto"/>
          </w:tcPr>
          <w:p w14:paraId="63542362" w14:textId="59E255EF" w:rsidR="00D759E1" w:rsidRPr="0086186A" w:rsidRDefault="002C0EC7" w:rsidP="00D759E1">
            <w:pPr>
              <w:pStyle w:val="SorkznlklCESCI2020"/>
              <w:rPr>
                <w:rFonts w:ascii="Times New Roman" w:hAnsi="Times New Roman"/>
                <w:sz w:val="18"/>
                <w:lang w:val="hr-HR"/>
              </w:rPr>
            </w:pPr>
            <w:r w:rsidRPr="0086186A">
              <w:rPr>
                <w:rFonts w:ascii="Times New Roman" w:hAnsi="Times New Roman"/>
                <w:sz w:val="18"/>
                <w:lang w:val="hr-HR"/>
              </w:rPr>
              <w:t>Teritorijalni razvoj i razvoj naselja</w:t>
            </w:r>
            <w:r w:rsidR="00D759E1" w:rsidRPr="0086186A">
              <w:rPr>
                <w:rFonts w:ascii="Times New Roman" w:hAnsi="Times New Roman"/>
                <w:sz w:val="18"/>
                <w:lang w:val="hr-HR"/>
              </w:rPr>
              <w:t xml:space="preserve"> OP Plus</w:t>
            </w:r>
          </w:p>
        </w:tc>
        <w:tc>
          <w:tcPr>
            <w:tcW w:w="1401" w:type="dxa"/>
            <w:shd w:val="clear" w:color="auto" w:fill="auto"/>
            <w:vAlign w:val="center"/>
          </w:tcPr>
          <w:p w14:paraId="2DDE5FFD" w14:textId="77777777" w:rsidR="00D759E1" w:rsidRPr="0086186A" w:rsidRDefault="00D759E1" w:rsidP="00D759E1">
            <w:pPr>
              <w:pStyle w:val="SorkznlklCESCI2020"/>
              <w:jc w:val="center"/>
              <w:rPr>
                <w:rFonts w:ascii="Times New Roman" w:hAnsi="Times New Roman"/>
                <w:b/>
                <w:sz w:val="18"/>
                <w:lang w:val="hr-HR"/>
              </w:rPr>
            </w:pPr>
            <w:r w:rsidRPr="0086186A">
              <w:rPr>
                <w:rFonts w:ascii="Times New Roman" w:hAnsi="Times New Roman"/>
                <w:b/>
                <w:sz w:val="18"/>
                <w:lang w:val="hr-HR"/>
              </w:rPr>
              <w:t>+</w:t>
            </w:r>
          </w:p>
        </w:tc>
        <w:tc>
          <w:tcPr>
            <w:tcW w:w="1243" w:type="dxa"/>
            <w:shd w:val="clear" w:color="auto" w:fill="auto"/>
            <w:vAlign w:val="center"/>
          </w:tcPr>
          <w:p w14:paraId="3385D42E" w14:textId="01CF4124" w:rsidR="00D759E1" w:rsidRPr="0086186A" w:rsidRDefault="009E4183" w:rsidP="009E4183">
            <w:pPr>
              <w:pStyle w:val="SorkznlklCESCI2020"/>
              <w:jc w:val="center"/>
              <w:rPr>
                <w:rFonts w:ascii="Times New Roman" w:hAnsi="Times New Roman"/>
                <w:b/>
                <w:sz w:val="18"/>
                <w:lang w:val="hr-HR"/>
              </w:rPr>
            </w:pPr>
            <w:r w:rsidRPr="0086186A">
              <w:rPr>
                <w:rFonts w:ascii="Times New Roman" w:hAnsi="Times New Roman"/>
                <w:b/>
                <w:sz w:val="18"/>
                <w:lang w:val="hr-HR"/>
              </w:rPr>
              <w:t>+</w:t>
            </w:r>
          </w:p>
        </w:tc>
        <w:tc>
          <w:tcPr>
            <w:tcW w:w="1312" w:type="dxa"/>
            <w:shd w:val="clear" w:color="auto" w:fill="auto"/>
            <w:vAlign w:val="center"/>
          </w:tcPr>
          <w:p w14:paraId="47152A47" w14:textId="6A13875E" w:rsidR="00D759E1" w:rsidRPr="0086186A" w:rsidRDefault="00D759E1" w:rsidP="00D759E1">
            <w:pPr>
              <w:pStyle w:val="SorkznlklCESCI2020"/>
              <w:jc w:val="center"/>
              <w:rPr>
                <w:rFonts w:ascii="Times New Roman" w:hAnsi="Times New Roman"/>
                <w:b/>
                <w:sz w:val="18"/>
                <w:lang w:val="hr-HR"/>
              </w:rPr>
            </w:pPr>
            <w:r w:rsidRPr="0086186A">
              <w:rPr>
                <w:rFonts w:ascii="Times New Roman" w:hAnsi="Times New Roman"/>
                <w:b/>
                <w:sz w:val="18"/>
                <w:lang w:val="hr-HR"/>
              </w:rPr>
              <w:t>+</w:t>
            </w:r>
            <w:r w:rsidR="009C4992" w:rsidRPr="0086186A">
              <w:rPr>
                <w:rFonts w:ascii="Times New Roman" w:hAnsi="Times New Roman"/>
                <w:b/>
                <w:sz w:val="18"/>
                <w:lang w:val="hr-HR"/>
              </w:rPr>
              <w:t>+</w:t>
            </w:r>
          </w:p>
        </w:tc>
        <w:tc>
          <w:tcPr>
            <w:tcW w:w="1272" w:type="dxa"/>
            <w:shd w:val="clear" w:color="auto" w:fill="auto"/>
            <w:vAlign w:val="center"/>
          </w:tcPr>
          <w:p w14:paraId="1203B692" w14:textId="1546A7A3" w:rsidR="00D759E1" w:rsidRPr="0086186A" w:rsidRDefault="009C4992" w:rsidP="00D759E1">
            <w:pPr>
              <w:pStyle w:val="SorkznlklCESCI2020"/>
              <w:jc w:val="center"/>
              <w:rPr>
                <w:rFonts w:ascii="Times New Roman" w:hAnsi="Times New Roman"/>
                <w:b/>
                <w:sz w:val="18"/>
                <w:lang w:val="hr-HR"/>
              </w:rPr>
            </w:pPr>
            <w:r w:rsidRPr="0086186A">
              <w:rPr>
                <w:rFonts w:ascii="Times New Roman" w:hAnsi="Times New Roman"/>
                <w:b/>
                <w:sz w:val="18"/>
                <w:lang w:val="hr-HR"/>
              </w:rPr>
              <w:t>+</w:t>
            </w:r>
            <w:r w:rsidR="00D759E1" w:rsidRPr="0086186A">
              <w:rPr>
                <w:rFonts w:ascii="Times New Roman" w:hAnsi="Times New Roman"/>
                <w:b/>
                <w:sz w:val="18"/>
                <w:lang w:val="hr-HR"/>
              </w:rPr>
              <w:t>+</w:t>
            </w:r>
          </w:p>
        </w:tc>
        <w:tc>
          <w:tcPr>
            <w:tcW w:w="1333" w:type="dxa"/>
            <w:shd w:val="clear" w:color="auto" w:fill="auto"/>
            <w:vAlign w:val="center"/>
          </w:tcPr>
          <w:p w14:paraId="337FAB2C" w14:textId="2507F18A" w:rsidR="00D759E1" w:rsidRPr="0086186A" w:rsidRDefault="009C4992" w:rsidP="00D759E1">
            <w:pPr>
              <w:pStyle w:val="SorkznlklCESCI2020"/>
              <w:jc w:val="center"/>
              <w:rPr>
                <w:rFonts w:ascii="Times New Roman" w:hAnsi="Times New Roman"/>
                <w:b/>
                <w:sz w:val="18"/>
                <w:lang w:val="hr-HR"/>
              </w:rPr>
            </w:pPr>
            <w:r w:rsidRPr="0086186A">
              <w:rPr>
                <w:rFonts w:ascii="Times New Roman" w:hAnsi="Times New Roman"/>
                <w:b/>
                <w:sz w:val="18"/>
                <w:lang w:val="hr-HR"/>
              </w:rPr>
              <w:t>+</w:t>
            </w:r>
            <w:r w:rsidR="00D759E1" w:rsidRPr="0086186A">
              <w:rPr>
                <w:rFonts w:ascii="Times New Roman" w:hAnsi="Times New Roman"/>
                <w:b/>
                <w:sz w:val="18"/>
                <w:lang w:val="hr-HR"/>
              </w:rPr>
              <w:t>+</w:t>
            </w:r>
          </w:p>
        </w:tc>
        <w:tc>
          <w:tcPr>
            <w:tcW w:w="1180" w:type="dxa"/>
            <w:shd w:val="clear" w:color="auto" w:fill="auto"/>
            <w:vAlign w:val="center"/>
          </w:tcPr>
          <w:p w14:paraId="43D6904D" w14:textId="5177E3A4" w:rsidR="00D759E1" w:rsidRPr="0086186A" w:rsidRDefault="00D759E1" w:rsidP="00D759E1">
            <w:pPr>
              <w:pStyle w:val="SorkznlklCESCI2020"/>
              <w:jc w:val="center"/>
              <w:rPr>
                <w:rFonts w:ascii="Times New Roman" w:hAnsi="Times New Roman"/>
                <w:b/>
                <w:sz w:val="18"/>
                <w:lang w:val="hr-HR"/>
              </w:rPr>
            </w:pPr>
          </w:p>
        </w:tc>
      </w:tr>
      <w:tr w:rsidR="009C4992" w:rsidRPr="0086186A" w14:paraId="7557D856" w14:textId="77777777" w:rsidTr="00B04DD4">
        <w:trPr>
          <w:trHeight w:val="480"/>
          <w:jc w:val="center"/>
        </w:trPr>
        <w:tc>
          <w:tcPr>
            <w:tcW w:w="1604" w:type="dxa"/>
            <w:shd w:val="clear" w:color="auto" w:fill="auto"/>
          </w:tcPr>
          <w:p w14:paraId="006E8668" w14:textId="2E076E64" w:rsidR="009C4992" w:rsidRPr="0086186A" w:rsidRDefault="002C0EC7" w:rsidP="00D759E1">
            <w:pPr>
              <w:pStyle w:val="SorkznlklCESCI2020"/>
              <w:rPr>
                <w:rFonts w:ascii="Times New Roman" w:hAnsi="Times New Roman"/>
                <w:sz w:val="18"/>
                <w:lang w:val="hr-HR"/>
              </w:rPr>
            </w:pPr>
            <w:r w:rsidRPr="0086186A">
              <w:rPr>
                <w:rFonts w:ascii="Times New Roman" w:hAnsi="Times New Roman"/>
                <w:sz w:val="18"/>
                <w:lang w:val="hr-HR"/>
              </w:rPr>
              <w:t xml:space="preserve">Mađarsko ribarstvo </w:t>
            </w:r>
            <w:r w:rsidR="009C4992" w:rsidRPr="0086186A">
              <w:rPr>
                <w:rFonts w:ascii="Times New Roman" w:hAnsi="Times New Roman"/>
                <w:sz w:val="18"/>
                <w:lang w:val="hr-HR"/>
              </w:rPr>
              <w:t>OP Plus</w:t>
            </w:r>
          </w:p>
        </w:tc>
        <w:tc>
          <w:tcPr>
            <w:tcW w:w="1401" w:type="dxa"/>
            <w:shd w:val="clear" w:color="auto" w:fill="auto"/>
            <w:vAlign w:val="center"/>
          </w:tcPr>
          <w:p w14:paraId="2B26F0BD" w14:textId="77777777" w:rsidR="009C4992" w:rsidRPr="0086186A" w:rsidRDefault="009C4992" w:rsidP="00D759E1">
            <w:pPr>
              <w:pStyle w:val="SorkznlklCESCI2020"/>
              <w:jc w:val="center"/>
              <w:rPr>
                <w:rFonts w:ascii="Times New Roman" w:hAnsi="Times New Roman"/>
                <w:b/>
                <w:sz w:val="18"/>
                <w:lang w:val="hr-HR"/>
              </w:rPr>
            </w:pPr>
          </w:p>
        </w:tc>
        <w:tc>
          <w:tcPr>
            <w:tcW w:w="1243" w:type="dxa"/>
            <w:shd w:val="clear" w:color="auto" w:fill="auto"/>
            <w:vAlign w:val="center"/>
          </w:tcPr>
          <w:p w14:paraId="0FEE5BE7" w14:textId="77777777" w:rsidR="009C4992" w:rsidRPr="0086186A" w:rsidRDefault="009C4992" w:rsidP="009E4183">
            <w:pPr>
              <w:pStyle w:val="SorkznlklCESCI2020"/>
              <w:jc w:val="center"/>
              <w:rPr>
                <w:rFonts w:ascii="Times New Roman" w:hAnsi="Times New Roman"/>
                <w:b/>
                <w:sz w:val="18"/>
                <w:lang w:val="hr-HR"/>
              </w:rPr>
            </w:pPr>
          </w:p>
        </w:tc>
        <w:tc>
          <w:tcPr>
            <w:tcW w:w="1312" w:type="dxa"/>
            <w:shd w:val="clear" w:color="auto" w:fill="auto"/>
            <w:vAlign w:val="center"/>
          </w:tcPr>
          <w:p w14:paraId="464878B5" w14:textId="28E4B385" w:rsidR="009C4992" w:rsidRPr="0086186A" w:rsidRDefault="009C4992" w:rsidP="00D759E1">
            <w:pPr>
              <w:pStyle w:val="SorkznlklCESCI2020"/>
              <w:jc w:val="center"/>
              <w:rPr>
                <w:rFonts w:ascii="Times New Roman" w:hAnsi="Times New Roman"/>
                <w:b/>
                <w:sz w:val="18"/>
                <w:lang w:val="hr-HR"/>
              </w:rPr>
            </w:pPr>
            <w:r w:rsidRPr="0086186A">
              <w:rPr>
                <w:rFonts w:ascii="Times New Roman" w:hAnsi="Times New Roman"/>
                <w:b/>
                <w:sz w:val="18"/>
                <w:lang w:val="hr-HR"/>
              </w:rPr>
              <w:t>+</w:t>
            </w:r>
          </w:p>
        </w:tc>
        <w:tc>
          <w:tcPr>
            <w:tcW w:w="1272" w:type="dxa"/>
            <w:shd w:val="clear" w:color="auto" w:fill="auto"/>
            <w:vAlign w:val="center"/>
          </w:tcPr>
          <w:p w14:paraId="654B9A65" w14:textId="77777777" w:rsidR="009C4992" w:rsidRPr="0086186A" w:rsidRDefault="009C4992" w:rsidP="00D759E1">
            <w:pPr>
              <w:pStyle w:val="SorkznlklCESCI2020"/>
              <w:jc w:val="center"/>
              <w:rPr>
                <w:rFonts w:ascii="Times New Roman" w:hAnsi="Times New Roman"/>
                <w:b/>
                <w:sz w:val="18"/>
                <w:lang w:val="hr-HR"/>
              </w:rPr>
            </w:pPr>
          </w:p>
        </w:tc>
        <w:tc>
          <w:tcPr>
            <w:tcW w:w="1333" w:type="dxa"/>
            <w:shd w:val="clear" w:color="auto" w:fill="auto"/>
            <w:vAlign w:val="center"/>
          </w:tcPr>
          <w:p w14:paraId="206F06BC" w14:textId="77777777" w:rsidR="009C4992" w:rsidRPr="0086186A" w:rsidRDefault="009C4992" w:rsidP="00D759E1">
            <w:pPr>
              <w:pStyle w:val="SorkznlklCESCI2020"/>
              <w:jc w:val="center"/>
              <w:rPr>
                <w:rFonts w:ascii="Times New Roman" w:hAnsi="Times New Roman"/>
                <w:b/>
                <w:sz w:val="18"/>
                <w:lang w:val="hr-HR"/>
              </w:rPr>
            </w:pPr>
          </w:p>
        </w:tc>
        <w:tc>
          <w:tcPr>
            <w:tcW w:w="1180" w:type="dxa"/>
            <w:shd w:val="clear" w:color="auto" w:fill="auto"/>
            <w:vAlign w:val="center"/>
          </w:tcPr>
          <w:p w14:paraId="5E621F4E" w14:textId="77777777" w:rsidR="009C4992" w:rsidRPr="0086186A" w:rsidDel="003449DC" w:rsidRDefault="009C4992" w:rsidP="00D759E1">
            <w:pPr>
              <w:pStyle w:val="SorkznlklCESCI2020"/>
              <w:jc w:val="center"/>
              <w:rPr>
                <w:rFonts w:ascii="Times New Roman" w:hAnsi="Times New Roman"/>
                <w:b/>
                <w:sz w:val="18"/>
                <w:lang w:val="hr-HR"/>
              </w:rPr>
            </w:pPr>
          </w:p>
        </w:tc>
      </w:tr>
      <w:tr w:rsidR="009C4992" w:rsidRPr="0086186A" w14:paraId="48691F5B" w14:textId="77777777" w:rsidTr="00B04DD4">
        <w:trPr>
          <w:trHeight w:val="480"/>
          <w:jc w:val="center"/>
        </w:trPr>
        <w:tc>
          <w:tcPr>
            <w:tcW w:w="1604" w:type="dxa"/>
            <w:shd w:val="clear" w:color="auto" w:fill="auto"/>
          </w:tcPr>
          <w:p w14:paraId="1EB85A16" w14:textId="0FB53EB2" w:rsidR="009C4992" w:rsidRPr="0086186A" w:rsidRDefault="002C0EC7" w:rsidP="00D759E1">
            <w:pPr>
              <w:pStyle w:val="SorkznlklCESCI2020"/>
              <w:rPr>
                <w:rFonts w:ascii="Times New Roman" w:hAnsi="Times New Roman"/>
                <w:sz w:val="18"/>
                <w:lang w:val="hr-HR"/>
              </w:rPr>
            </w:pPr>
            <w:r w:rsidRPr="0086186A">
              <w:rPr>
                <w:rFonts w:ascii="Times New Roman" w:hAnsi="Times New Roman"/>
                <w:sz w:val="18"/>
                <w:lang w:val="hr-HR"/>
              </w:rPr>
              <w:t>Provedba</w:t>
            </w:r>
            <w:r w:rsidR="009C4992" w:rsidRPr="0086186A">
              <w:rPr>
                <w:rFonts w:ascii="Times New Roman" w:hAnsi="Times New Roman"/>
                <w:sz w:val="18"/>
                <w:lang w:val="hr-HR"/>
              </w:rPr>
              <w:t xml:space="preserve"> OP Plus</w:t>
            </w:r>
          </w:p>
        </w:tc>
        <w:tc>
          <w:tcPr>
            <w:tcW w:w="1401" w:type="dxa"/>
            <w:shd w:val="clear" w:color="auto" w:fill="auto"/>
            <w:vAlign w:val="center"/>
          </w:tcPr>
          <w:p w14:paraId="2164B298" w14:textId="77777777" w:rsidR="009C4992" w:rsidRPr="0086186A" w:rsidRDefault="009C4992" w:rsidP="00D759E1">
            <w:pPr>
              <w:pStyle w:val="SorkznlklCESCI2020"/>
              <w:jc w:val="center"/>
              <w:rPr>
                <w:rFonts w:ascii="Times New Roman" w:hAnsi="Times New Roman"/>
                <w:b/>
                <w:sz w:val="18"/>
                <w:lang w:val="hr-HR"/>
              </w:rPr>
            </w:pPr>
          </w:p>
        </w:tc>
        <w:tc>
          <w:tcPr>
            <w:tcW w:w="1243" w:type="dxa"/>
            <w:shd w:val="clear" w:color="auto" w:fill="auto"/>
            <w:vAlign w:val="center"/>
          </w:tcPr>
          <w:p w14:paraId="2F243854" w14:textId="77777777" w:rsidR="009C4992" w:rsidRPr="0086186A" w:rsidRDefault="009C4992" w:rsidP="009E4183">
            <w:pPr>
              <w:pStyle w:val="SorkznlklCESCI2020"/>
              <w:jc w:val="center"/>
              <w:rPr>
                <w:rFonts w:ascii="Times New Roman" w:hAnsi="Times New Roman"/>
                <w:b/>
                <w:sz w:val="18"/>
                <w:lang w:val="hr-HR"/>
              </w:rPr>
            </w:pPr>
          </w:p>
        </w:tc>
        <w:tc>
          <w:tcPr>
            <w:tcW w:w="1312" w:type="dxa"/>
            <w:shd w:val="clear" w:color="auto" w:fill="auto"/>
            <w:vAlign w:val="center"/>
          </w:tcPr>
          <w:p w14:paraId="1B91B074" w14:textId="77777777" w:rsidR="009C4992" w:rsidRPr="0086186A" w:rsidRDefault="009C4992" w:rsidP="00D759E1">
            <w:pPr>
              <w:pStyle w:val="SorkznlklCESCI2020"/>
              <w:jc w:val="center"/>
              <w:rPr>
                <w:rFonts w:ascii="Times New Roman" w:hAnsi="Times New Roman"/>
                <w:b/>
                <w:sz w:val="18"/>
                <w:lang w:val="hr-HR"/>
              </w:rPr>
            </w:pPr>
          </w:p>
        </w:tc>
        <w:tc>
          <w:tcPr>
            <w:tcW w:w="1272" w:type="dxa"/>
            <w:shd w:val="clear" w:color="auto" w:fill="auto"/>
            <w:vAlign w:val="center"/>
          </w:tcPr>
          <w:p w14:paraId="3F2B25FC" w14:textId="77777777" w:rsidR="009C4992" w:rsidRPr="0086186A" w:rsidRDefault="009C4992" w:rsidP="00D759E1">
            <w:pPr>
              <w:pStyle w:val="SorkznlklCESCI2020"/>
              <w:jc w:val="center"/>
              <w:rPr>
                <w:rFonts w:ascii="Times New Roman" w:hAnsi="Times New Roman"/>
                <w:b/>
                <w:sz w:val="18"/>
                <w:lang w:val="hr-HR"/>
              </w:rPr>
            </w:pPr>
          </w:p>
        </w:tc>
        <w:tc>
          <w:tcPr>
            <w:tcW w:w="1333" w:type="dxa"/>
            <w:shd w:val="clear" w:color="auto" w:fill="auto"/>
            <w:vAlign w:val="center"/>
          </w:tcPr>
          <w:p w14:paraId="755D1833" w14:textId="77777777" w:rsidR="009C4992" w:rsidRPr="0086186A" w:rsidRDefault="009C4992" w:rsidP="00D759E1">
            <w:pPr>
              <w:pStyle w:val="SorkznlklCESCI2020"/>
              <w:jc w:val="center"/>
              <w:rPr>
                <w:rFonts w:ascii="Times New Roman" w:hAnsi="Times New Roman"/>
                <w:b/>
                <w:sz w:val="18"/>
                <w:lang w:val="hr-HR"/>
              </w:rPr>
            </w:pPr>
          </w:p>
        </w:tc>
        <w:tc>
          <w:tcPr>
            <w:tcW w:w="1180" w:type="dxa"/>
            <w:shd w:val="clear" w:color="auto" w:fill="auto"/>
            <w:vAlign w:val="center"/>
          </w:tcPr>
          <w:p w14:paraId="0F764CB3" w14:textId="2DEF47A3" w:rsidR="009C4992" w:rsidRPr="0086186A" w:rsidDel="003449DC" w:rsidRDefault="009C4992" w:rsidP="00D759E1">
            <w:pPr>
              <w:pStyle w:val="SorkznlklCESCI2020"/>
              <w:jc w:val="center"/>
              <w:rPr>
                <w:rFonts w:ascii="Times New Roman" w:hAnsi="Times New Roman"/>
                <w:b/>
                <w:sz w:val="18"/>
                <w:lang w:val="hr-HR"/>
              </w:rPr>
            </w:pPr>
            <w:r w:rsidRPr="0086186A">
              <w:rPr>
                <w:rFonts w:ascii="Times New Roman" w:hAnsi="Times New Roman"/>
                <w:b/>
                <w:sz w:val="18"/>
                <w:lang w:val="hr-HR"/>
              </w:rPr>
              <w:t>+</w:t>
            </w:r>
          </w:p>
        </w:tc>
      </w:tr>
    </w:tbl>
    <w:p w14:paraId="6E37B98B" w14:textId="77777777" w:rsidR="00485B91" w:rsidRPr="0086186A" w:rsidRDefault="00485B91" w:rsidP="00D8786F">
      <w:pPr>
        <w:pStyle w:val="BodyText"/>
        <w:ind w:left="170" w:right="135"/>
        <w:jc w:val="both"/>
        <w:rPr>
          <w:rFonts w:ascii="Times New Roman" w:hAnsi="Times New Roman"/>
          <w:sz w:val="20"/>
          <w:lang w:val="hr-HR"/>
        </w:rPr>
      </w:pPr>
    </w:p>
    <w:p w14:paraId="589B5650" w14:textId="3B2A66E2" w:rsidR="00F34059" w:rsidRPr="0086186A" w:rsidRDefault="000C138C" w:rsidP="00D8786F">
      <w:pPr>
        <w:pStyle w:val="BodyText"/>
        <w:ind w:left="170" w:right="135"/>
        <w:jc w:val="both"/>
        <w:rPr>
          <w:rFonts w:ascii="Times New Roman" w:hAnsi="Times New Roman"/>
          <w:sz w:val="20"/>
          <w:lang w:val="hr-HR"/>
        </w:rPr>
      </w:pPr>
      <w:r w:rsidRPr="0086186A">
        <w:rPr>
          <w:rFonts w:ascii="Times New Roman" w:hAnsi="Times New Roman"/>
          <w:sz w:val="20"/>
          <w:lang w:val="hr-HR"/>
        </w:rPr>
        <w:t>Nacionalni</w:t>
      </w:r>
      <w:r w:rsidR="00F34059" w:rsidRPr="0086186A">
        <w:rPr>
          <w:rFonts w:ascii="Times New Roman" w:hAnsi="Times New Roman"/>
          <w:sz w:val="20"/>
          <w:lang w:val="hr-HR"/>
        </w:rPr>
        <w:t xml:space="preserve"> programi koji se financiraju iz mađarskog državnog proračuna mogu također doprinijeti ciljevima Programa prekogranične suradnje (primjerice </w:t>
      </w:r>
      <w:r w:rsidR="00F34059" w:rsidRPr="0086186A">
        <w:rPr>
          <w:rFonts w:ascii="Times New Roman" w:hAnsi="Times New Roman"/>
          <w:i/>
          <w:iCs/>
          <w:sz w:val="20"/>
          <w:lang w:val="hr-HR"/>
        </w:rPr>
        <w:t>Program modernih gradova</w:t>
      </w:r>
      <w:r w:rsidR="00F34059" w:rsidRPr="0086186A">
        <w:rPr>
          <w:rFonts w:ascii="Times New Roman" w:hAnsi="Times New Roman"/>
          <w:sz w:val="20"/>
          <w:lang w:val="hr-HR"/>
        </w:rPr>
        <w:t xml:space="preserve">, </w:t>
      </w:r>
      <w:r w:rsidR="00F34059" w:rsidRPr="0086186A">
        <w:rPr>
          <w:rFonts w:ascii="Times New Roman" w:hAnsi="Times New Roman"/>
          <w:i/>
          <w:iCs/>
          <w:sz w:val="20"/>
          <w:lang w:val="hr-HR"/>
        </w:rPr>
        <w:t>Program mađarskog sela</w:t>
      </w:r>
      <w:r w:rsidR="00F34059" w:rsidRPr="0086186A">
        <w:rPr>
          <w:rFonts w:ascii="Times New Roman" w:hAnsi="Times New Roman"/>
          <w:sz w:val="20"/>
          <w:lang w:val="hr-HR"/>
        </w:rPr>
        <w:t xml:space="preserve">, </w:t>
      </w:r>
      <w:r w:rsidR="00F34059" w:rsidRPr="0086186A">
        <w:rPr>
          <w:rFonts w:ascii="Times New Roman" w:hAnsi="Times New Roman"/>
          <w:i/>
          <w:iCs/>
          <w:sz w:val="20"/>
          <w:lang w:val="hr-HR"/>
        </w:rPr>
        <w:t xml:space="preserve">Program </w:t>
      </w:r>
      <w:proofErr w:type="spellStart"/>
      <w:r w:rsidR="00F34059" w:rsidRPr="0086186A">
        <w:rPr>
          <w:rFonts w:ascii="Times New Roman" w:hAnsi="Times New Roman"/>
          <w:i/>
          <w:iCs/>
          <w:sz w:val="20"/>
          <w:lang w:val="hr-HR"/>
        </w:rPr>
        <w:t>Kisfaludy</w:t>
      </w:r>
      <w:proofErr w:type="spellEnd"/>
      <w:r w:rsidR="00F34059" w:rsidRPr="0086186A">
        <w:rPr>
          <w:rFonts w:ascii="Times New Roman" w:hAnsi="Times New Roman"/>
          <w:sz w:val="20"/>
          <w:lang w:val="hr-HR"/>
        </w:rPr>
        <w:t xml:space="preserve">, </w:t>
      </w:r>
      <w:r w:rsidR="00F34059" w:rsidRPr="0086186A">
        <w:rPr>
          <w:rFonts w:ascii="Times New Roman" w:hAnsi="Times New Roman"/>
          <w:i/>
          <w:iCs/>
          <w:sz w:val="20"/>
          <w:lang w:val="hr-HR"/>
        </w:rPr>
        <w:t xml:space="preserve">Program naselja </w:t>
      </w:r>
      <w:r w:rsidR="002E2A74" w:rsidRPr="0086186A">
        <w:rPr>
          <w:rFonts w:ascii="Times New Roman" w:hAnsi="Times New Roman"/>
          <w:i/>
          <w:iCs/>
          <w:sz w:val="20"/>
          <w:lang w:val="hr-HR"/>
        </w:rPr>
        <w:t>za sustizanje razvoja</w:t>
      </w:r>
      <w:r w:rsidR="00F34059" w:rsidRPr="0086186A">
        <w:rPr>
          <w:rFonts w:ascii="Times New Roman" w:hAnsi="Times New Roman"/>
          <w:sz w:val="20"/>
          <w:lang w:val="hr-HR"/>
        </w:rPr>
        <w:t xml:space="preserve"> ili </w:t>
      </w:r>
      <w:r w:rsidR="00F34059" w:rsidRPr="0086186A">
        <w:rPr>
          <w:rFonts w:ascii="Times New Roman" w:hAnsi="Times New Roman"/>
          <w:i/>
          <w:iCs/>
          <w:sz w:val="20"/>
          <w:lang w:val="hr-HR"/>
        </w:rPr>
        <w:t>Nacionalni program za okoliš i ispravljanje</w:t>
      </w:r>
      <w:r w:rsidR="00F34059" w:rsidRPr="0086186A">
        <w:rPr>
          <w:rFonts w:ascii="Times New Roman" w:hAnsi="Times New Roman"/>
          <w:sz w:val="20"/>
          <w:lang w:val="hr-HR"/>
        </w:rPr>
        <w:t>, da navedemo nekoliko). Dodatne informacije o sinergijama mogu se pronaći u teritorijalnoj analizi programa.</w:t>
      </w:r>
    </w:p>
    <w:p w14:paraId="351C3E9E" w14:textId="179B0BD1" w:rsidR="00F34059" w:rsidRPr="0086186A" w:rsidRDefault="00F34059" w:rsidP="00D8786F">
      <w:pPr>
        <w:pStyle w:val="BodyText"/>
        <w:ind w:left="170" w:right="135"/>
        <w:jc w:val="both"/>
        <w:rPr>
          <w:rFonts w:ascii="Times New Roman" w:hAnsi="Times New Roman"/>
          <w:sz w:val="20"/>
          <w:lang w:val="hr-HR"/>
        </w:rPr>
      </w:pPr>
    </w:p>
    <w:p w14:paraId="3221114A" w14:textId="4A7E91C7" w:rsidR="00F34059" w:rsidRPr="0086186A" w:rsidRDefault="00F34059" w:rsidP="00D8786F">
      <w:pPr>
        <w:pStyle w:val="BodyText"/>
        <w:ind w:left="170" w:right="135"/>
        <w:jc w:val="both"/>
        <w:rPr>
          <w:rFonts w:ascii="Times New Roman" w:hAnsi="Times New Roman"/>
          <w:sz w:val="20"/>
          <w:lang w:val="hr-HR"/>
        </w:rPr>
      </w:pPr>
      <w:r w:rsidRPr="0086186A">
        <w:rPr>
          <w:rFonts w:ascii="Times New Roman" w:hAnsi="Times New Roman"/>
          <w:sz w:val="20"/>
          <w:lang w:val="hr-HR"/>
        </w:rPr>
        <w:t>U slučaju Hrvatske, svi programi i instrumenti za financiranje koje treba provesti u programskom razdoblju od 2021. do 2027. u skladu su sa smjernicama iz glavnog nacionalnog strateškog dokumenta – Nacionalne razvojne strategije 2030.</w:t>
      </w:r>
    </w:p>
    <w:p w14:paraId="74AB6A70" w14:textId="6F1F4126" w:rsidR="00F34059" w:rsidRPr="0086186A" w:rsidRDefault="00F34059" w:rsidP="00D8786F">
      <w:pPr>
        <w:pStyle w:val="BodyText"/>
        <w:ind w:left="170" w:right="135"/>
        <w:jc w:val="both"/>
        <w:rPr>
          <w:rFonts w:ascii="Times New Roman" w:hAnsi="Times New Roman"/>
          <w:sz w:val="20"/>
          <w:lang w:val="hr-HR"/>
        </w:rPr>
      </w:pPr>
    </w:p>
    <w:p w14:paraId="1D132F64" w14:textId="197E8D34" w:rsidR="00F34059" w:rsidRPr="0086186A" w:rsidRDefault="00F34059" w:rsidP="00D8786F">
      <w:pPr>
        <w:pStyle w:val="BodyText"/>
        <w:ind w:left="170" w:right="135"/>
        <w:jc w:val="both"/>
        <w:rPr>
          <w:rFonts w:ascii="Times New Roman" w:hAnsi="Times New Roman"/>
          <w:sz w:val="20"/>
          <w:lang w:val="hr-HR"/>
        </w:rPr>
      </w:pPr>
      <w:r w:rsidRPr="0086186A">
        <w:rPr>
          <w:rFonts w:ascii="Times New Roman" w:hAnsi="Times New Roman"/>
          <w:sz w:val="20"/>
          <w:lang w:val="hr-HR"/>
        </w:rPr>
        <w:t xml:space="preserve">U skladu s nacrtom Sporazuma o partnerstvu (PS) za razdoblje od 1. siječnja 2021. do 31. prosinca 2027., sljedeće su sinergije u planu za postizanje na razini hrvatskih Operativnih programa </w:t>
      </w:r>
      <w:r w:rsidR="00AC6FBA" w:rsidRPr="0086186A">
        <w:rPr>
          <w:rFonts w:ascii="Times New Roman" w:hAnsi="Times New Roman"/>
          <w:sz w:val="20"/>
          <w:lang w:val="hr-HR"/>
        </w:rPr>
        <w:t>koji se financiraju iz kohezijskih fondova, Europskog fonda za regionalni razvoj, Fonda za ruralni razvoj, Fonda za pravednu tranziciju, Europskog socijalnog fonda i Programa prekogranične suradnje.</w:t>
      </w:r>
    </w:p>
    <w:p w14:paraId="0EF1C222" w14:textId="77777777" w:rsidR="00F34059" w:rsidRPr="0086186A" w:rsidRDefault="00F34059" w:rsidP="00D8786F">
      <w:pPr>
        <w:pStyle w:val="BodyText"/>
        <w:ind w:left="170" w:right="135"/>
        <w:jc w:val="both"/>
        <w:rPr>
          <w:rFonts w:ascii="Times New Roman" w:hAnsi="Times New Roman"/>
          <w:sz w:val="20"/>
          <w:lang w:val="hr-HR"/>
        </w:rPr>
      </w:pPr>
    </w:p>
    <w:p w14:paraId="65C26CA9" w14:textId="77777777" w:rsidR="00D759E1" w:rsidRPr="0086186A" w:rsidRDefault="00D759E1" w:rsidP="00D759E1">
      <w:pPr>
        <w:pStyle w:val="BodyText"/>
        <w:ind w:left="170" w:right="135"/>
        <w:jc w:val="both"/>
        <w:rPr>
          <w:rFonts w:ascii="Times New Roman" w:hAnsi="Times New Roman" w:cs="Times New Roman"/>
          <w:sz w:val="20"/>
          <w:szCs w:val="20"/>
          <w:lang w:val="hr-HR"/>
        </w:rPr>
      </w:pPr>
    </w:p>
    <w:p w14:paraId="6ECF7093" w14:textId="77777777" w:rsidR="00D759E1" w:rsidRPr="0086186A" w:rsidRDefault="00D759E1" w:rsidP="00D759E1">
      <w:pPr>
        <w:pStyle w:val="BodyText"/>
        <w:ind w:right="135"/>
        <w:jc w:val="both"/>
        <w:rPr>
          <w:rFonts w:ascii="Times New Roman" w:hAnsi="Times New Roman" w:cs="Times New Roman"/>
          <w:sz w:val="20"/>
          <w:szCs w:val="20"/>
          <w:lang w:val="hr-HR"/>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7"/>
        <w:gridCol w:w="1407"/>
        <w:gridCol w:w="1244"/>
        <w:gridCol w:w="1255"/>
        <w:gridCol w:w="1282"/>
        <w:gridCol w:w="1344"/>
        <w:gridCol w:w="1191"/>
      </w:tblGrid>
      <w:tr w:rsidR="002E2A74" w:rsidRPr="0086186A" w14:paraId="58449047" w14:textId="77777777" w:rsidTr="00C66849">
        <w:trPr>
          <w:cantSplit/>
          <w:trHeight w:val="300"/>
          <w:tblHeader/>
          <w:jc w:val="center"/>
        </w:trPr>
        <w:tc>
          <w:tcPr>
            <w:tcW w:w="1597" w:type="dxa"/>
            <w:vMerge w:val="restart"/>
            <w:shd w:val="clear" w:color="auto" w:fill="auto"/>
            <w:vAlign w:val="center"/>
            <w:hideMark/>
          </w:tcPr>
          <w:p w14:paraId="702BDCF3" w14:textId="0E1C5F4D" w:rsidR="002E2A74" w:rsidRPr="0086186A" w:rsidRDefault="000A5853" w:rsidP="002E2A74">
            <w:pPr>
              <w:pStyle w:val="SorkznlklCESCI2020"/>
              <w:rPr>
                <w:rFonts w:ascii="Times New Roman" w:hAnsi="Times New Roman"/>
                <w:sz w:val="18"/>
                <w:lang w:val="hr-HR"/>
              </w:rPr>
            </w:pPr>
            <w:r w:rsidRPr="0086186A">
              <w:rPr>
                <w:rFonts w:ascii="Times New Roman" w:hAnsi="Times New Roman"/>
                <w:sz w:val="18"/>
                <w:lang w:val="hr-HR"/>
              </w:rPr>
              <w:lastRenderedPageBreak/>
              <w:t xml:space="preserve">Predloženi posebni ciljevi </w:t>
            </w:r>
            <w:r w:rsidR="002E2A74" w:rsidRPr="0086186A">
              <w:rPr>
                <w:rFonts w:ascii="Times New Roman" w:hAnsi="Times New Roman"/>
                <w:sz w:val="18"/>
                <w:lang w:val="hr-HR"/>
              </w:rPr>
              <w:t>→</w:t>
            </w:r>
          </w:p>
          <w:p w14:paraId="5E180244" w14:textId="44818D5D" w:rsidR="002E2A74" w:rsidRPr="0086186A" w:rsidRDefault="002E2A74" w:rsidP="002E2A74">
            <w:pPr>
              <w:pStyle w:val="SorkznlklCESCI2020"/>
              <w:rPr>
                <w:rFonts w:ascii="Times New Roman" w:hAnsi="Times New Roman" w:cs="Times New Roman"/>
                <w:b/>
                <w:bCs/>
                <w:sz w:val="18"/>
                <w:szCs w:val="18"/>
                <w:lang w:val="hr-HR"/>
              </w:rPr>
            </w:pPr>
            <w:r w:rsidRPr="0086186A">
              <w:rPr>
                <w:rFonts w:ascii="Times New Roman" w:hAnsi="Times New Roman"/>
                <w:sz w:val="18"/>
                <w:lang w:val="hr-HR"/>
              </w:rPr>
              <w:t>Hrvatski operativni programi ↓</w:t>
            </w:r>
          </w:p>
        </w:tc>
        <w:tc>
          <w:tcPr>
            <w:tcW w:w="1407" w:type="dxa"/>
            <w:tcBorders>
              <w:bottom w:val="nil"/>
            </w:tcBorders>
            <w:shd w:val="clear" w:color="auto" w:fill="auto"/>
            <w:vAlign w:val="center"/>
            <w:hideMark/>
          </w:tcPr>
          <w:p w14:paraId="5A1BDDA4" w14:textId="52F242F0" w:rsidR="002E2A74" w:rsidRPr="0086186A" w:rsidRDefault="002E2A74" w:rsidP="002E2A74">
            <w:pPr>
              <w:pStyle w:val="SorkznlklCESCI2020"/>
              <w:jc w:val="center"/>
              <w:rPr>
                <w:rFonts w:ascii="Times New Roman" w:hAnsi="Times New Roman" w:cs="Times New Roman"/>
                <w:b/>
                <w:bCs/>
                <w:sz w:val="18"/>
                <w:szCs w:val="18"/>
                <w:lang w:val="hr-HR"/>
              </w:rPr>
            </w:pPr>
            <w:r w:rsidRPr="0086186A">
              <w:rPr>
                <w:rFonts w:ascii="Times New Roman" w:hAnsi="Times New Roman"/>
                <w:b/>
                <w:sz w:val="18"/>
                <w:lang w:val="hr-HR"/>
              </w:rPr>
              <w:t>PO1 – SO …</w:t>
            </w:r>
          </w:p>
        </w:tc>
        <w:tc>
          <w:tcPr>
            <w:tcW w:w="1244" w:type="dxa"/>
            <w:tcBorders>
              <w:bottom w:val="nil"/>
            </w:tcBorders>
          </w:tcPr>
          <w:p w14:paraId="04301213" w14:textId="745AD63A" w:rsidR="002E2A74" w:rsidRPr="0086186A" w:rsidRDefault="002E2A74" w:rsidP="002E2A74">
            <w:pPr>
              <w:pStyle w:val="SorkznlklCESCI2020"/>
              <w:jc w:val="center"/>
              <w:rPr>
                <w:rFonts w:ascii="Times New Roman" w:hAnsi="Times New Roman" w:cs="Times New Roman"/>
                <w:b/>
                <w:bCs/>
                <w:sz w:val="18"/>
                <w:szCs w:val="18"/>
                <w:lang w:val="hr-HR"/>
              </w:rPr>
            </w:pPr>
            <w:r w:rsidRPr="0086186A">
              <w:rPr>
                <w:rFonts w:ascii="Times New Roman" w:hAnsi="Times New Roman"/>
                <w:b/>
                <w:sz w:val="18"/>
                <w:lang w:val="hr-HR"/>
              </w:rPr>
              <w:t>PO2 – SO …</w:t>
            </w:r>
          </w:p>
        </w:tc>
        <w:tc>
          <w:tcPr>
            <w:tcW w:w="1255" w:type="dxa"/>
            <w:tcBorders>
              <w:bottom w:val="nil"/>
            </w:tcBorders>
            <w:shd w:val="clear" w:color="auto" w:fill="auto"/>
            <w:vAlign w:val="center"/>
            <w:hideMark/>
          </w:tcPr>
          <w:p w14:paraId="7A12CED7" w14:textId="40A295C3" w:rsidR="002E2A74" w:rsidRPr="0086186A" w:rsidRDefault="002E2A74" w:rsidP="002E2A74">
            <w:pPr>
              <w:pStyle w:val="SorkznlklCESCI2020"/>
              <w:jc w:val="center"/>
              <w:rPr>
                <w:rFonts w:ascii="Times New Roman" w:hAnsi="Times New Roman" w:cs="Times New Roman"/>
                <w:b/>
                <w:bCs/>
                <w:sz w:val="18"/>
                <w:szCs w:val="18"/>
                <w:lang w:val="hr-HR"/>
              </w:rPr>
            </w:pPr>
            <w:r w:rsidRPr="0086186A">
              <w:rPr>
                <w:rFonts w:ascii="Times New Roman" w:hAnsi="Times New Roman"/>
                <w:b/>
                <w:sz w:val="18"/>
                <w:lang w:val="hr-HR"/>
              </w:rPr>
              <w:t>PO2 – SO …</w:t>
            </w:r>
          </w:p>
        </w:tc>
        <w:tc>
          <w:tcPr>
            <w:tcW w:w="1282" w:type="dxa"/>
            <w:tcBorders>
              <w:bottom w:val="nil"/>
            </w:tcBorders>
            <w:shd w:val="clear" w:color="auto" w:fill="auto"/>
            <w:vAlign w:val="center"/>
            <w:hideMark/>
          </w:tcPr>
          <w:p w14:paraId="3E960E62" w14:textId="29F19553" w:rsidR="002E2A74" w:rsidRPr="0086186A" w:rsidRDefault="002E2A74" w:rsidP="002E2A74">
            <w:pPr>
              <w:pStyle w:val="SorkznlklCESCI2020"/>
              <w:jc w:val="center"/>
              <w:rPr>
                <w:rFonts w:ascii="Times New Roman" w:hAnsi="Times New Roman" w:cs="Times New Roman"/>
                <w:b/>
                <w:bCs/>
                <w:sz w:val="18"/>
                <w:szCs w:val="18"/>
                <w:lang w:val="hr-HR"/>
              </w:rPr>
            </w:pPr>
            <w:r w:rsidRPr="0086186A">
              <w:rPr>
                <w:rFonts w:ascii="Times New Roman" w:hAnsi="Times New Roman"/>
                <w:b/>
                <w:sz w:val="18"/>
                <w:lang w:val="hr-HR"/>
              </w:rPr>
              <w:t>PO4 – SO …</w:t>
            </w:r>
          </w:p>
        </w:tc>
        <w:tc>
          <w:tcPr>
            <w:tcW w:w="1344" w:type="dxa"/>
            <w:tcBorders>
              <w:bottom w:val="nil"/>
            </w:tcBorders>
            <w:shd w:val="clear" w:color="auto" w:fill="auto"/>
            <w:vAlign w:val="center"/>
            <w:hideMark/>
          </w:tcPr>
          <w:p w14:paraId="1DB29E3F" w14:textId="27ED4F33" w:rsidR="002E2A74" w:rsidRPr="0086186A" w:rsidRDefault="002E2A74" w:rsidP="002E2A74">
            <w:pPr>
              <w:pStyle w:val="SorkznlklCESCI2020"/>
              <w:jc w:val="center"/>
              <w:rPr>
                <w:rFonts w:ascii="Times New Roman" w:hAnsi="Times New Roman" w:cs="Times New Roman"/>
                <w:b/>
                <w:bCs/>
                <w:sz w:val="18"/>
                <w:szCs w:val="18"/>
                <w:lang w:val="hr-HR"/>
              </w:rPr>
            </w:pPr>
            <w:r w:rsidRPr="0086186A">
              <w:rPr>
                <w:rFonts w:ascii="Times New Roman" w:hAnsi="Times New Roman"/>
                <w:b/>
                <w:sz w:val="18"/>
                <w:lang w:val="hr-HR"/>
              </w:rPr>
              <w:t>PO4 – SO …</w:t>
            </w:r>
          </w:p>
        </w:tc>
        <w:tc>
          <w:tcPr>
            <w:tcW w:w="1191" w:type="dxa"/>
            <w:tcBorders>
              <w:bottom w:val="nil"/>
            </w:tcBorders>
            <w:shd w:val="clear" w:color="auto" w:fill="auto"/>
            <w:vAlign w:val="center"/>
            <w:hideMark/>
          </w:tcPr>
          <w:p w14:paraId="686D85CA" w14:textId="761280EB" w:rsidR="002E2A74" w:rsidRPr="0086186A" w:rsidRDefault="002E2A74" w:rsidP="002E2A74">
            <w:pPr>
              <w:pStyle w:val="SorkznlklCESCI2020"/>
              <w:jc w:val="center"/>
              <w:rPr>
                <w:rFonts w:ascii="Times New Roman" w:hAnsi="Times New Roman" w:cs="Times New Roman"/>
                <w:b/>
                <w:bCs/>
                <w:sz w:val="18"/>
                <w:szCs w:val="18"/>
                <w:lang w:val="hr-HR"/>
              </w:rPr>
            </w:pPr>
            <w:r w:rsidRPr="0086186A">
              <w:rPr>
                <w:rFonts w:ascii="Times New Roman" w:hAnsi="Times New Roman"/>
                <w:b/>
                <w:sz w:val="18"/>
                <w:lang w:val="hr-HR"/>
              </w:rPr>
              <w:t>ISO1</w:t>
            </w:r>
          </w:p>
        </w:tc>
      </w:tr>
      <w:tr w:rsidR="002E2A74" w:rsidRPr="0086186A" w14:paraId="2F651083" w14:textId="77777777" w:rsidTr="00D759E1">
        <w:trPr>
          <w:trHeight w:val="960"/>
          <w:tblHeader/>
          <w:jc w:val="center"/>
        </w:trPr>
        <w:tc>
          <w:tcPr>
            <w:tcW w:w="1597" w:type="dxa"/>
            <w:vMerge/>
            <w:shd w:val="clear" w:color="auto" w:fill="auto"/>
            <w:vAlign w:val="center"/>
            <w:hideMark/>
          </w:tcPr>
          <w:p w14:paraId="78989D8F" w14:textId="77777777" w:rsidR="002E2A74" w:rsidRPr="0086186A" w:rsidRDefault="002E2A74" w:rsidP="002E2A74">
            <w:pPr>
              <w:pStyle w:val="SorkznlklCESCI2020"/>
              <w:rPr>
                <w:rFonts w:ascii="Times New Roman" w:hAnsi="Times New Roman" w:cs="Times New Roman"/>
                <w:b/>
                <w:bCs/>
                <w:sz w:val="18"/>
                <w:szCs w:val="18"/>
                <w:lang w:val="hr-HR"/>
              </w:rPr>
            </w:pPr>
          </w:p>
        </w:tc>
        <w:tc>
          <w:tcPr>
            <w:tcW w:w="1407" w:type="dxa"/>
            <w:tcBorders>
              <w:top w:val="nil"/>
            </w:tcBorders>
            <w:shd w:val="clear" w:color="auto" w:fill="auto"/>
            <w:hideMark/>
          </w:tcPr>
          <w:p w14:paraId="1D80569E" w14:textId="3EE8A8F6" w:rsidR="002E2A74" w:rsidRPr="0086186A" w:rsidRDefault="002E2A74" w:rsidP="002E2A74">
            <w:pPr>
              <w:pStyle w:val="SorkznlklCESCI2020"/>
              <w:jc w:val="center"/>
              <w:rPr>
                <w:rFonts w:ascii="Times New Roman" w:hAnsi="Times New Roman" w:cs="Times New Roman"/>
                <w:sz w:val="18"/>
                <w:szCs w:val="18"/>
                <w:lang w:val="hr-HR"/>
              </w:rPr>
            </w:pPr>
            <w:r w:rsidRPr="0086186A">
              <w:rPr>
                <w:rFonts w:ascii="Times New Roman" w:hAnsi="Times New Roman" w:cs="Times New Roman"/>
                <w:sz w:val="18"/>
                <w:szCs w:val="18"/>
                <w:lang w:val="hr-HR"/>
              </w:rPr>
              <w:t xml:space="preserve">(iii) </w:t>
            </w:r>
            <w:r w:rsidRPr="0086186A">
              <w:rPr>
                <w:rFonts w:ascii="Times New Roman" w:eastAsia="Cambria" w:hAnsi="Times New Roman" w:cs="Times New Roman"/>
                <w:sz w:val="18"/>
                <w:szCs w:val="18"/>
                <w:lang w:val="hr-HR" w:eastAsia="en-US"/>
              </w:rPr>
              <w:t xml:space="preserve">Jačanje održivog rasta i konkurentnosti </w:t>
            </w:r>
            <w:proofErr w:type="spellStart"/>
            <w:r w:rsidRPr="0086186A">
              <w:rPr>
                <w:rFonts w:ascii="Times New Roman" w:eastAsia="Cambria" w:hAnsi="Times New Roman" w:cs="Times New Roman"/>
                <w:sz w:val="18"/>
                <w:szCs w:val="18"/>
                <w:lang w:val="hr-HR" w:eastAsia="en-US"/>
              </w:rPr>
              <w:t>MSP</w:t>
            </w:r>
            <w:proofErr w:type="spellEnd"/>
            <w:r w:rsidRPr="0086186A">
              <w:rPr>
                <w:rFonts w:ascii="Times New Roman" w:eastAsia="Cambria" w:hAnsi="Times New Roman" w:cs="Times New Roman"/>
                <w:sz w:val="18"/>
                <w:szCs w:val="18"/>
                <w:lang w:val="hr-HR" w:eastAsia="en-US"/>
              </w:rPr>
              <w:t xml:space="preserve">-ova i otvaranje radnih mjesta u njima, među ostalim i kroz produktivna ulaganja </w:t>
            </w:r>
          </w:p>
        </w:tc>
        <w:tc>
          <w:tcPr>
            <w:tcW w:w="1244" w:type="dxa"/>
            <w:tcBorders>
              <w:top w:val="nil"/>
            </w:tcBorders>
          </w:tcPr>
          <w:p w14:paraId="764619BD" w14:textId="601E8D9C" w:rsidR="002E2A74" w:rsidRPr="0086186A" w:rsidRDefault="002E2A74" w:rsidP="002E2A74">
            <w:pPr>
              <w:pStyle w:val="TableParagraph"/>
              <w:rPr>
                <w:rFonts w:ascii="Times New Roman" w:hAnsi="Times New Roman" w:cs="Times New Roman"/>
                <w:sz w:val="18"/>
                <w:szCs w:val="18"/>
                <w:lang w:val="hr-HR"/>
              </w:rPr>
            </w:pPr>
            <w:r w:rsidRPr="0086186A">
              <w:rPr>
                <w:rFonts w:ascii="Times New Roman" w:hAnsi="Times New Roman"/>
                <w:sz w:val="18"/>
                <w:lang w:val="hr-HR"/>
              </w:rPr>
              <w:t>(i) Promicanje mjera energetske učinkovitosti i smanjenje emisija stakleničkih plinova</w:t>
            </w:r>
          </w:p>
        </w:tc>
        <w:tc>
          <w:tcPr>
            <w:tcW w:w="1255" w:type="dxa"/>
            <w:tcBorders>
              <w:top w:val="nil"/>
            </w:tcBorders>
            <w:shd w:val="clear" w:color="auto" w:fill="auto"/>
            <w:hideMark/>
          </w:tcPr>
          <w:p w14:paraId="0F2B9216" w14:textId="77777777" w:rsidR="002E2A74" w:rsidRPr="0086186A" w:rsidRDefault="002E2A74" w:rsidP="002E2A74">
            <w:pPr>
              <w:pStyle w:val="TableParagraph"/>
              <w:rPr>
                <w:rFonts w:ascii="Times New Roman" w:hAnsi="Times New Roman" w:cs="Times New Roman"/>
                <w:sz w:val="18"/>
                <w:szCs w:val="18"/>
                <w:lang w:val="hr-HR"/>
              </w:rPr>
            </w:pPr>
            <w:r w:rsidRPr="0086186A">
              <w:rPr>
                <w:rFonts w:ascii="Times New Roman" w:hAnsi="Times New Roman"/>
                <w:sz w:val="18"/>
                <w:lang w:val="hr-HR"/>
              </w:rPr>
              <w:t>(</w:t>
            </w:r>
            <w:r w:rsidRPr="0086186A">
              <w:rPr>
                <w:rFonts w:ascii="Times New Roman" w:hAnsi="Times New Roman" w:cs="Times New Roman"/>
                <w:sz w:val="18"/>
                <w:szCs w:val="18"/>
                <w:lang w:val="hr-HR"/>
              </w:rPr>
              <w:t>iv) Promicanje prilagodbe klimatskim promjenama i sprječavanja rizika od katastrofa te otpornosti, uzimajući u obzir pristupe utemeljene na ekosustavima</w:t>
            </w:r>
          </w:p>
          <w:p w14:paraId="57760B4A" w14:textId="77777777" w:rsidR="002E2A74" w:rsidRPr="0086186A" w:rsidRDefault="002E2A74" w:rsidP="002E2A74">
            <w:pPr>
              <w:pStyle w:val="TableParagraph"/>
              <w:rPr>
                <w:rFonts w:ascii="Times New Roman" w:hAnsi="Times New Roman" w:cs="Times New Roman"/>
                <w:sz w:val="18"/>
                <w:szCs w:val="18"/>
                <w:lang w:val="hr-HR"/>
              </w:rPr>
            </w:pPr>
          </w:p>
        </w:tc>
        <w:tc>
          <w:tcPr>
            <w:tcW w:w="1282" w:type="dxa"/>
            <w:tcBorders>
              <w:top w:val="nil"/>
            </w:tcBorders>
            <w:shd w:val="clear" w:color="auto" w:fill="auto"/>
            <w:hideMark/>
          </w:tcPr>
          <w:p w14:paraId="15900580" w14:textId="77777777" w:rsidR="002E2A74" w:rsidRPr="0086186A" w:rsidRDefault="002E2A74" w:rsidP="002E2A74">
            <w:pPr>
              <w:pStyle w:val="TableParagraph"/>
              <w:rPr>
                <w:rFonts w:ascii="Times New Roman" w:hAnsi="Times New Roman"/>
                <w:sz w:val="18"/>
                <w:lang w:val="hr-HR"/>
              </w:rPr>
            </w:pPr>
            <w:r w:rsidRPr="0086186A">
              <w:rPr>
                <w:rFonts w:ascii="Times New Roman" w:hAnsi="Times New Roman"/>
                <w:sz w:val="18"/>
                <w:lang w:val="hr-HR"/>
              </w:rPr>
              <w:t>(vi) Jačanje uloge kulture i održivog turizma u gospodarskom razvoju, socijalnoj uključenosti i socijalnim inovacijama</w:t>
            </w:r>
          </w:p>
          <w:p w14:paraId="069BE5A4" w14:textId="77777777" w:rsidR="002E2A74" w:rsidRPr="0086186A" w:rsidRDefault="002E2A74" w:rsidP="002E2A74">
            <w:pPr>
              <w:pStyle w:val="SorkznlklCESCI2020"/>
              <w:jc w:val="center"/>
              <w:rPr>
                <w:rFonts w:ascii="Times New Roman" w:hAnsi="Times New Roman" w:cs="Times New Roman"/>
                <w:sz w:val="18"/>
                <w:szCs w:val="18"/>
                <w:lang w:val="hr-HR"/>
              </w:rPr>
            </w:pPr>
          </w:p>
        </w:tc>
        <w:tc>
          <w:tcPr>
            <w:tcW w:w="1344" w:type="dxa"/>
            <w:tcBorders>
              <w:top w:val="nil"/>
            </w:tcBorders>
            <w:shd w:val="clear" w:color="auto" w:fill="auto"/>
            <w:hideMark/>
          </w:tcPr>
          <w:p w14:paraId="2619A60D" w14:textId="512FB91E" w:rsidR="002E2A74" w:rsidRPr="0086186A" w:rsidRDefault="002E2A74" w:rsidP="002E2A74">
            <w:pPr>
              <w:pStyle w:val="SorkznlklCESCI2020"/>
              <w:jc w:val="center"/>
              <w:rPr>
                <w:rFonts w:ascii="Times New Roman" w:hAnsi="Times New Roman" w:cs="Times New Roman"/>
                <w:sz w:val="18"/>
                <w:szCs w:val="18"/>
                <w:lang w:val="hr-HR"/>
              </w:rPr>
            </w:pPr>
            <w:r w:rsidRPr="0086186A">
              <w:rPr>
                <w:rFonts w:ascii="Times New Roman" w:hAnsi="Times New Roman"/>
                <w:sz w:val="18"/>
                <w:lang w:val="hr-HR"/>
              </w:rPr>
              <w:t xml:space="preserve">(ii) </w:t>
            </w:r>
            <w:r w:rsidRPr="0086186A">
              <w:rPr>
                <w:rFonts w:ascii="Times New Roman" w:eastAsia="Cambria" w:hAnsi="Times New Roman" w:cs="Cambria"/>
                <w:sz w:val="18"/>
                <w:lang w:val="hr-HR" w:eastAsia="en-US"/>
              </w:rPr>
              <w:t xml:space="preserve">Poboljšanje pristupa </w:t>
            </w:r>
            <w:proofErr w:type="spellStart"/>
            <w:r w:rsidRPr="0086186A">
              <w:rPr>
                <w:rFonts w:ascii="Times New Roman" w:eastAsia="Cambria" w:hAnsi="Times New Roman" w:cs="Cambria"/>
                <w:sz w:val="18"/>
                <w:lang w:val="hr-HR" w:eastAsia="en-US"/>
              </w:rPr>
              <w:t>uključivim</w:t>
            </w:r>
            <w:proofErr w:type="spellEnd"/>
            <w:r w:rsidRPr="0086186A">
              <w:rPr>
                <w:rFonts w:ascii="Times New Roman" w:eastAsia="Cambria" w:hAnsi="Times New Roman" w:cs="Cambria"/>
                <w:sz w:val="18"/>
                <w:lang w:val="hr-HR" w:eastAsia="en-US"/>
              </w:rPr>
              <w:t xml:space="preserve"> i kvalitetnim uslugama obrazovanja, osposobljavanja i cjeloživotnog učenja razvojem infrastrukture, među ostalim jačanjem otpornosti obrazovanja i osposobljavanja na daljinu i na internetu </w:t>
            </w:r>
          </w:p>
        </w:tc>
        <w:tc>
          <w:tcPr>
            <w:tcW w:w="1191" w:type="dxa"/>
            <w:tcBorders>
              <w:top w:val="nil"/>
            </w:tcBorders>
            <w:shd w:val="clear" w:color="auto" w:fill="auto"/>
            <w:hideMark/>
          </w:tcPr>
          <w:p w14:paraId="4103F998" w14:textId="087E9033" w:rsidR="002E2A74" w:rsidRPr="0086186A" w:rsidRDefault="002E2A74" w:rsidP="002E2A74">
            <w:pPr>
              <w:pStyle w:val="SorkznlklCESCI2020"/>
              <w:jc w:val="center"/>
              <w:rPr>
                <w:rFonts w:ascii="Times New Roman" w:hAnsi="Times New Roman" w:cs="Times New Roman"/>
                <w:sz w:val="18"/>
                <w:szCs w:val="18"/>
                <w:lang w:val="hr-HR"/>
              </w:rPr>
            </w:pPr>
            <w:r w:rsidRPr="0086186A">
              <w:rPr>
                <w:rFonts w:ascii="Times New Roman" w:hAnsi="Times New Roman"/>
                <w:sz w:val="18"/>
                <w:lang w:val="hr-HR"/>
              </w:rPr>
              <w:t>Bolje upravljanje suradnjom</w:t>
            </w:r>
          </w:p>
        </w:tc>
      </w:tr>
      <w:tr w:rsidR="00E00B3C" w:rsidRPr="0086186A" w14:paraId="07171C14" w14:textId="77777777" w:rsidTr="00D759E1">
        <w:trPr>
          <w:trHeight w:val="300"/>
          <w:jc w:val="center"/>
        </w:trPr>
        <w:tc>
          <w:tcPr>
            <w:tcW w:w="1597" w:type="dxa"/>
            <w:shd w:val="clear" w:color="auto" w:fill="auto"/>
          </w:tcPr>
          <w:p w14:paraId="77810FCF" w14:textId="7CC75D91" w:rsidR="002E2A74" w:rsidRPr="0086186A" w:rsidRDefault="002E2A74" w:rsidP="00D759E1">
            <w:pPr>
              <w:pStyle w:val="SorkznlklCESCI2020"/>
              <w:rPr>
                <w:rFonts w:ascii="Times New Roman" w:hAnsi="Times New Roman" w:cs="Times New Roman"/>
                <w:sz w:val="18"/>
                <w:szCs w:val="18"/>
                <w:lang w:val="hr-HR"/>
              </w:rPr>
            </w:pPr>
            <w:r w:rsidRPr="0086186A">
              <w:rPr>
                <w:rFonts w:ascii="Times New Roman" w:hAnsi="Times New Roman" w:cs="Times New Roman"/>
                <w:sz w:val="18"/>
                <w:szCs w:val="18"/>
                <w:lang w:val="hr-HR"/>
              </w:rPr>
              <w:t xml:space="preserve">Kompetencije, inovacije i </w:t>
            </w:r>
            <w:proofErr w:type="spellStart"/>
            <w:r w:rsidRPr="0086186A">
              <w:rPr>
                <w:rFonts w:ascii="Times New Roman" w:hAnsi="Times New Roman" w:cs="Times New Roman"/>
                <w:sz w:val="18"/>
                <w:szCs w:val="18"/>
                <w:lang w:val="hr-HR"/>
              </w:rPr>
              <w:t>IKT</w:t>
            </w:r>
            <w:proofErr w:type="spellEnd"/>
            <w:r w:rsidRPr="0086186A">
              <w:rPr>
                <w:rFonts w:ascii="Times New Roman" w:hAnsi="Times New Roman" w:cs="Times New Roman"/>
                <w:sz w:val="18"/>
                <w:szCs w:val="18"/>
                <w:lang w:val="hr-HR"/>
              </w:rPr>
              <w:t xml:space="preserve"> OP Kompetencije i kohezija</w:t>
            </w:r>
          </w:p>
          <w:p w14:paraId="10EBC3E8" w14:textId="0702A9D0" w:rsidR="00D759E1" w:rsidRPr="0086186A" w:rsidRDefault="002E2A74" w:rsidP="002E2A74">
            <w:pPr>
              <w:pStyle w:val="SorkznlklCESCI2020"/>
              <w:rPr>
                <w:rFonts w:ascii="Times New Roman" w:hAnsi="Times New Roman" w:cs="Times New Roman"/>
                <w:sz w:val="18"/>
                <w:szCs w:val="18"/>
                <w:lang w:val="hr-HR"/>
              </w:rPr>
            </w:pPr>
            <w:r w:rsidRPr="0086186A">
              <w:rPr>
                <w:rFonts w:ascii="Times New Roman" w:hAnsi="Times New Roman" w:cs="Times New Roman"/>
                <w:sz w:val="18"/>
                <w:szCs w:val="18"/>
                <w:lang w:val="hr-HR"/>
              </w:rPr>
              <w:t>Integrirani teritorijalni program</w:t>
            </w:r>
          </w:p>
        </w:tc>
        <w:tc>
          <w:tcPr>
            <w:tcW w:w="1407" w:type="dxa"/>
            <w:shd w:val="clear" w:color="auto" w:fill="auto"/>
            <w:vAlign w:val="center"/>
          </w:tcPr>
          <w:p w14:paraId="3FC7647D" w14:textId="70DEE5C5" w:rsidR="00D759E1" w:rsidRPr="0086186A" w:rsidRDefault="00D759E1" w:rsidP="00D759E1">
            <w:pPr>
              <w:pStyle w:val="SorkznlklCESCI2020"/>
              <w:jc w:val="center"/>
              <w:rPr>
                <w:rFonts w:ascii="Times New Roman" w:hAnsi="Times New Roman" w:cs="Times New Roman"/>
                <w:b/>
                <w:bCs/>
                <w:sz w:val="18"/>
                <w:szCs w:val="18"/>
                <w:lang w:val="hr-HR"/>
              </w:rPr>
            </w:pPr>
            <w:r w:rsidRPr="0086186A">
              <w:rPr>
                <w:rFonts w:ascii="Times New Roman" w:hAnsi="Times New Roman" w:cs="Times New Roman"/>
                <w:b/>
                <w:bCs/>
                <w:sz w:val="18"/>
                <w:szCs w:val="18"/>
                <w:lang w:val="hr-HR"/>
              </w:rPr>
              <w:t>+</w:t>
            </w:r>
            <w:r w:rsidR="00FA33D0" w:rsidRPr="0086186A">
              <w:rPr>
                <w:rFonts w:ascii="Times New Roman" w:hAnsi="Times New Roman" w:cs="Times New Roman"/>
                <w:b/>
                <w:bCs/>
                <w:sz w:val="18"/>
                <w:szCs w:val="18"/>
                <w:lang w:val="hr-HR"/>
              </w:rPr>
              <w:t>+</w:t>
            </w:r>
          </w:p>
        </w:tc>
        <w:tc>
          <w:tcPr>
            <w:tcW w:w="1244" w:type="dxa"/>
            <w:vAlign w:val="center"/>
          </w:tcPr>
          <w:p w14:paraId="606DF482" w14:textId="2F85F2B2" w:rsidR="00D759E1" w:rsidRPr="0086186A" w:rsidRDefault="00FA33D0" w:rsidP="00D759E1">
            <w:pPr>
              <w:pStyle w:val="SorkznlklCESCI2020"/>
              <w:jc w:val="center"/>
              <w:rPr>
                <w:rFonts w:ascii="Times New Roman" w:hAnsi="Times New Roman" w:cs="Times New Roman"/>
                <w:b/>
                <w:bCs/>
                <w:sz w:val="18"/>
                <w:szCs w:val="18"/>
                <w:lang w:val="hr-HR"/>
              </w:rPr>
            </w:pPr>
            <w:r w:rsidRPr="0086186A">
              <w:rPr>
                <w:rFonts w:ascii="Times New Roman" w:hAnsi="Times New Roman" w:cs="Times New Roman"/>
                <w:b/>
                <w:bCs/>
                <w:sz w:val="18"/>
                <w:szCs w:val="18"/>
                <w:lang w:val="hr-HR"/>
              </w:rPr>
              <w:t>+</w:t>
            </w:r>
          </w:p>
        </w:tc>
        <w:tc>
          <w:tcPr>
            <w:tcW w:w="1255" w:type="dxa"/>
            <w:shd w:val="clear" w:color="auto" w:fill="auto"/>
            <w:vAlign w:val="center"/>
          </w:tcPr>
          <w:p w14:paraId="5F66D4A4" w14:textId="282FDC42" w:rsidR="00D759E1" w:rsidRPr="0086186A" w:rsidRDefault="00D759E1" w:rsidP="00D759E1">
            <w:pPr>
              <w:pStyle w:val="SorkznlklCESCI2020"/>
              <w:jc w:val="center"/>
              <w:rPr>
                <w:rFonts w:ascii="Times New Roman" w:hAnsi="Times New Roman" w:cs="Times New Roman"/>
                <w:b/>
                <w:bCs/>
                <w:sz w:val="18"/>
                <w:szCs w:val="18"/>
                <w:lang w:val="hr-HR"/>
              </w:rPr>
            </w:pPr>
          </w:p>
        </w:tc>
        <w:tc>
          <w:tcPr>
            <w:tcW w:w="1282" w:type="dxa"/>
            <w:shd w:val="clear" w:color="auto" w:fill="auto"/>
            <w:vAlign w:val="center"/>
          </w:tcPr>
          <w:p w14:paraId="06F8917E" w14:textId="66F7F742" w:rsidR="00D759E1" w:rsidRPr="0086186A" w:rsidRDefault="00FA33D0" w:rsidP="00D759E1">
            <w:pPr>
              <w:pStyle w:val="SorkznlklCESCI2020"/>
              <w:jc w:val="center"/>
              <w:rPr>
                <w:rFonts w:ascii="Times New Roman" w:hAnsi="Times New Roman" w:cs="Times New Roman"/>
                <w:b/>
                <w:bCs/>
                <w:sz w:val="18"/>
                <w:szCs w:val="18"/>
                <w:lang w:val="hr-HR"/>
              </w:rPr>
            </w:pPr>
            <w:r w:rsidRPr="0086186A">
              <w:rPr>
                <w:rFonts w:ascii="Times New Roman" w:hAnsi="Times New Roman" w:cs="Times New Roman"/>
                <w:b/>
                <w:bCs/>
                <w:sz w:val="18"/>
                <w:szCs w:val="18"/>
                <w:lang w:val="hr-HR"/>
              </w:rPr>
              <w:t>+</w:t>
            </w:r>
          </w:p>
        </w:tc>
        <w:tc>
          <w:tcPr>
            <w:tcW w:w="1344" w:type="dxa"/>
            <w:shd w:val="clear" w:color="auto" w:fill="auto"/>
            <w:vAlign w:val="center"/>
          </w:tcPr>
          <w:p w14:paraId="08F23032" w14:textId="1092509A" w:rsidR="00D759E1" w:rsidRPr="0086186A" w:rsidRDefault="00FA33D0" w:rsidP="00D759E1">
            <w:pPr>
              <w:pStyle w:val="SorkznlklCESCI2020"/>
              <w:jc w:val="center"/>
              <w:rPr>
                <w:rFonts w:ascii="Times New Roman" w:hAnsi="Times New Roman" w:cs="Times New Roman"/>
                <w:b/>
                <w:bCs/>
                <w:sz w:val="18"/>
                <w:szCs w:val="18"/>
                <w:lang w:val="hr-HR"/>
              </w:rPr>
            </w:pPr>
            <w:r w:rsidRPr="0086186A">
              <w:rPr>
                <w:rFonts w:ascii="Times New Roman" w:hAnsi="Times New Roman" w:cs="Times New Roman"/>
                <w:b/>
                <w:bCs/>
                <w:sz w:val="18"/>
                <w:szCs w:val="18"/>
                <w:lang w:val="hr-HR"/>
              </w:rPr>
              <w:t>+</w:t>
            </w:r>
          </w:p>
        </w:tc>
        <w:tc>
          <w:tcPr>
            <w:tcW w:w="1191" w:type="dxa"/>
            <w:shd w:val="clear" w:color="auto" w:fill="auto"/>
            <w:vAlign w:val="center"/>
          </w:tcPr>
          <w:p w14:paraId="4E2FA217" w14:textId="77777777" w:rsidR="00D759E1" w:rsidRPr="0086186A" w:rsidRDefault="00D759E1" w:rsidP="00D759E1">
            <w:pPr>
              <w:pStyle w:val="SorkznlklCESCI2020"/>
              <w:jc w:val="center"/>
              <w:rPr>
                <w:rFonts w:ascii="Times New Roman" w:hAnsi="Times New Roman" w:cs="Times New Roman"/>
                <w:b/>
                <w:bCs/>
                <w:sz w:val="18"/>
                <w:szCs w:val="18"/>
                <w:lang w:val="hr-HR"/>
              </w:rPr>
            </w:pPr>
          </w:p>
        </w:tc>
      </w:tr>
      <w:tr w:rsidR="00E00B3C" w:rsidRPr="0086186A" w14:paraId="7EB4AEE4" w14:textId="77777777" w:rsidTr="00D759E1">
        <w:trPr>
          <w:trHeight w:val="300"/>
          <w:jc w:val="center"/>
        </w:trPr>
        <w:tc>
          <w:tcPr>
            <w:tcW w:w="1597" w:type="dxa"/>
            <w:shd w:val="clear" w:color="auto" w:fill="auto"/>
          </w:tcPr>
          <w:p w14:paraId="2D854DCE" w14:textId="16C3533E" w:rsidR="00D759E1" w:rsidRPr="0086186A" w:rsidRDefault="002E2A74" w:rsidP="002E2A74">
            <w:pPr>
              <w:pStyle w:val="SorkznlklCESCI2020"/>
              <w:rPr>
                <w:rFonts w:ascii="Times New Roman" w:hAnsi="Times New Roman" w:cs="Times New Roman"/>
                <w:sz w:val="18"/>
                <w:szCs w:val="18"/>
                <w:lang w:val="hr-HR"/>
              </w:rPr>
            </w:pPr>
            <w:r w:rsidRPr="0086186A">
              <w:rPr>
                <w:rFonts w:ascii="Times New Roman" w:hAnsi="Times New Roman" w:cs="Times New Roman"/>
                <w:sz w:val="18"/>
                <w:szCs w:val="18"/>
                <w:lang w:val="hr-HR"/>
              </w:rPr>
              <w:t>Ekološka pitanja i energetska učinkovitost OP Kompetencije i kohezija Integrirani teritorijalni program</w:t>
            </w:r>
          </w:p>
        </w:tc>
        <w:tc>
          <w:tcPr>
            <w:tcW w:w="1407" w:type="dxa"/>
            <w:shd w:val="clear" w:color="auto" w:fill="auto"/>
            <w:vAlign w:val="center"/>
          </w:tcPr>
          <w:p w14:paraId="6E069B45" w14:textId="77777777" w:rsidR="00D759E1" w:rsidRPr="0086186A" w:rsidRDefault="00D759E1" w:rsidP="00D759E1">
            <w:pPr>
              <w:pStyle w:val="SorkznlklCESCI2020"/>
              <w:jc w:val="center"/>
              <w:rPr>
                <w:rFonts w:ascii="Times New Roman" w:hAnsi="Times New Roman" w:cs="Times New Roman"/>
                <w:b/>
                <w:bCs/>
                <w:sz w:val="18"/>
                <w:szCs w:val="18"/>
                <w:lang w:val="hr-HR"/>
              </w:rPr>
            </w:pPr>
          </w:p>
        </w:tc>
        <w:tc>
          <w:tcPr>
            <w:tcW w:w="1244" w:type="dxa"/>
            <w:vAlign w:val="center"/>
          </w:tcPr>
          <w:p w14:paraId="36EC98E9" w14:textId="1A3679A4" w:rsidR="00D759E1" w:rsidRPr="0086186A" w:rsidRDefault="00D759E1" w:rsidP="00D759E1">
            <w:pPr>
              <w:pStyle w:val="SorkznlklCESCI2020"/>
              <w:jc w:val="center"/>
              <w:rPr>
                <w:rFonts w:ascii="Times New Roman" w:hAnsi="Times New Roman" w:cs="Times New Roman"/>
                <w:b/>
                <w:bCs/>
                <w:sz w:val="18"/>
                <w:szCs w:val="18"/>
                <w:lang w:val="hr-HR"/>
              </w:rPr>
            </w:pPr>
            <w:r w:rsidRPr="0086186A">
              <w:rPr>
                <w:rFonts w:ascii="Times New Roman" w:hAnsi="Times New Roman" w:cs="Times New Roman"/>
                <w:b/>
                <w:bCs/>
                <w:sz w:val="18"/>
                <w:szCs w:val="18"/>
                <w:lang w:val="hr-HR"/>
              </w:rPr>
              <w:t>+</w:t>
            </w:r>
            <w:r w:rsidR="00FA33D0" w:rsidRPr="0086186A">
              <w:rPr>
                <w:rFonts w:ascii="Times New Roman" w:hAnsi="Times New Roman" w:cs="Times New Roman"/>
                <w:b/>
                <w:bCs/>
                <w:sz w:val="18"/>
                <w:szCs w:val="18"/>
                <w:lang w:val="hr-HR"/>
              </w:rPr>
              <w:t>+</w:t>
            </w:r>
          </w:p>
        </w:tc>
        <w:tc>
          <w:tcPr>
            <w:tcW w:w="1255" w:type="dxa"/>
            <w:shd w:val="clear" w:color="auto" w:fill="auto"/>
            <w:vAlign w:val="center"/>
          </w:tcPr>
          <w:p w14:paraId="0E7F9231" w14:textId="19BF4255" w:rsidR="00D759E1" w:rsidRPr="0086186A" w:rsidRDefault="00FA33D0" w:rsidP="00D759E1">
            <w:pPr>
              <w:pStyle w:val="SorkznlklCESCI2020"/>
              <w:jc w:val="center"/>
              <w:rPr>
                <w:rFonts w:ascii="Times New Roman" w:hAnsi="Times New Roman" w:cs="Times New Roman"/>
                <w:b/>
                <w:bCs/>
                <w:sz w:val="18"/>
                <w:szCs w:val="18"/>
                <w:lang w:val="hr-HR"/>
              </w:rPr>
            </w:pPr>
            <w:r w:rsidRPr="0086186A">
              <w:rPr>
                <w:rFonts w:ascii="Times New Roman" w:hAnsi="Times New Roman" w:cs="Times New Roman"/>
                <w:b/>
                <w:bCs/>
                <w:sz w:val="18"/>
                <w:szCs w:val="18"/>
                <w:lang w:val="hr-HR"/>
              </w:rPr>
              <w:t>+</w:t>
            </w:r>
            <w:r w:rsidR="00D759E1" w:rsidRPr="0086186A">
              <w:rPr>
                <w:rFonts w:ascii="Times New Roman" w:hAnsi="Times New Roman" w:cs="Times New Roman"/>
                <w:b/>
                <w:bCs/>
                <w:sz w:val="18"/>
                <w:szCs w:val="18"/>
                <w:lang w:val="hr-HR"/>
              </w:rPr>
              <w:t>+</w:t>
            </w:r>
          </w:p>
        </w:tc>
        <w:tc>
          <w:tcPr>
            <w:tcW w:w="1282" w:type="dxa"/>
            <w:shd w:val="clear" w:color="auto" w:fill="auto"/>
            <w:vAlign w:val="center"/>
          </w:tcPr>
          <w:p w14:paraId="4F181979" w14:textId="156EC881" w:rsidR="00D759E1" w:rsidRPr="0086186A" w:rsidRDefault="00FA33D0" w:rsidP="00D759E1">
            <w:pPr>
              <w:pStyle w:val="SorkznlklCESCI2020"/>
              <w:jc w:val="center"/>
              <w:rPr>
                <w:rFonts w:ascii="Times New Roman" w:hAnsi="Times New Roman" w:cs="Times New Roman"/>
                <w:b/>
                <w:bCs/>
                <w:sz w:val="18"/>
                <w:szCs w:val="18"/>
                <w:lang w:val="hr-HR"/>
              </w:rPr>
            </w:pPr>
            <w:r w:rsidRPr="0086186A">
              <w:rPr>
                <w:rFonts w:ascii="Times New Roman" w:hAnsi="Times New Roman" w:cs="Times New Roman"/>
                <w:b/>
                <w:bCs/>
                <w:sz w:val="18"/>
                <w:szCs w:val="18"/>
                <w:lang w:val="hr-HR"/>
              </w:rPr>
              <w:t>+</w:t>
            </w:r>
          </w:p>
        </w:tc>
        <w:tc>
          <w:tcPr>
            <w:tcW w:w="1344" w:type="dxa"/>
            <w:shd w:val="clear" w:color="auto" w:fill="auto"/>
            <w:vAlign w:val="center"/>
          </w:tcPr>
          <w:p w14:paraId="6A960F38" w14:textId="77777777" w:rsidR="00D759E1" w:rsidRPr="0086186A" w:rsidRDefault="00D759E1" w:rsidP="00D759E1">
            <w:pPr>
              <w:pStyle w:val="SorkznlklCESCI2020"/>
              <w:jc w:val="center"/>
              <w:rPr>
                <w:rFonts w:ascii="Times New Roman" w:hAnsi="Times New Roman" w:cs="Times New Roman"/>
                <w:b/>
                <w:bCs/>
                <w:sz w:val="18"/>
                <w:szCs w:val="18"/>
                <w:lang w:val="hr-HR"/>
              </w:rPr>
            </w:pPr>
          </w:p>
        </w:tc>
        <w:tc>
          <w:tcPr>
            <w:tcW w:w="1191" w:type="dxa"/>
            <w:shd w:val="clear" w:color="auto" w:fill="auto"/>
            <w:vAlign w:val="center"/>
          </w:tcPr>
          <w:p w14:paraId="19D2D680" w14:textId="77777777" w:rsidR="00D759E1" w:rsidRPr="0086186A" w:rsidRDefault="00D759E1" w:rsidP="00D759E1">
            <w:pPr>
              <w:pStyle w:val="SorkznlklCESCI2020"/>
              <w:jc w:val="center"/>
              <w:rPr>
                <w:rFonts w:ascii="Times New Roman" w:hAnsi="Times New Roman" w:cs="Times New Roman"/>
                <w:b/>
                <w:bCs/>
                <w:sz w:val="18"/>
                <w:szCs w:val="18"/>
                <w:lang w:val="hr-HR"/>
              </w:rPr>
            </w:pPr>
          </w:p>
        </w:tc>
      </w:tr>
      <w:tr w:rsidR="00E00B3C" w:rsidRPr="0086186A" w14:paraId="7946A33A" w14:textId="77777777" w:rsidTr="00D759E1">
        <w:trPr>
          <w:trHeight w:val="481"/>
          <w:jc w:val="center"/>
        </w:trPr>
        <w:tc>
          <w:tcPr>
            <w:tcW w:w="1597" w:type="dxa"/>
            <w:shd w:val="clear" w:color="auto" w:fill="auto"/>
          </w:tcPr>
          <w:p w14:paraId="4B1C5B53" w14:textId="695B549A" w:rsidR="00D759E1" w:rsidRPr="0086186A" w:rsidRDefault="002E2A74" w:rsidP="00D759E1">
            <w:pPr>
              <w:pStyle w:val="SorkznlklCESCI2020"/>
              <w:rPr>
                <w:rFonts w:ascii="Times New Roman" w:hAnsi="Times New Roman" w:cs="Times New Roman"/>
                <w:sz w:val="18"/>
                <w:szCs w:val="18"/>
                <w:lang w:val="hr-HR"/>
              </w:rPr>
            </w:pPr>
            <w:r w:rsidRPr="0086186A">
              <w:rPr>
                <w:rFonts w:ascii="Times New Roman" w:hAnsi="Times New Roman" w:cs="Times New Roman"/>
                <w:sz w:val="18"/>
                <w:szCs w:val="18"/>
                <w:lang w:val="hr-HR"/>
              </w:rPr>
              <w:t>Promet i mobilnost</w:t>
            </w:r>
          </w:p>
          <w:p w14:paraId="19E86E80" w14:textId="7753B7BE" w:rsidR="00D759E1" w:rsidRPr="0086186A" w:rsidRDefault="00D759E1" w:rsidP="00D759E1">
            <w:pPr>
              <w:pStyle w:val="SorkznlklCESCI2020"/>
              <w:rPr>
                <w:rFonts w:ascii="Times New Roman" w:hAnsi="Times New Roman" w:cs="Times New Roman"/>
                <w:sz w:val="18"/>
                <w:szCs w:val="18"/>
                <w:lang w:val="hr-HR"/>
              </w:rPr>
            </w:pPr>
            <w:r w:rsidRPr="0086186A">
              <w:rPr>
                <w:rFonts w:ascii="Times New Roman" w:hAnsi="Times New Roman" w:cs="Times New Roman"/>
                <w:sz w:val="18"/>
                <w:szCs w:val="18"/>
                <w:lang w:val="hr-HR"/>
              </w:rPr>
              <w:t xml:space="preserve">OP </w:t>
            </w:r>
            <w:r w:rsidR="002E2A74" w:rsidRPr="0086186A">
              <w:rPr>
                <w:rFonts w:ascii="Times New Roman" w:hAnsi="Times New Roman" w:cs="Times New Roman"/>
                <w:sz w:val="18"/>
                <w:szCs w:val="18"/>
                <w:lang w:val="hr-HR"/>
              </w:rPr>
              <w:t>Kompetencije i kohezija</w:t>
            </w:r>
          </w:p>
        </w:tc>
        <w:tc>
          <w:tcPr>
            <w:tcW w:w="1407" w:type="dxa"/>
            <w:shd w:val="clear" w:color="auto" w:fill="auto"/>
            <w:vAlign w:val="center"/>
          </w:tcPr>
          <w:p w14:paraId="04E3D4D5" w14:textId="77777777" w:rsidR="00D759E1" w:rsidRPr="0086186A" w:rsidRDefault="00D759E1" w:rsidP="00D759E1">
            <w:pPr>
              <w:pStyle w:val="SorkznlklCESCI2020"/>
              <w:jc w:val="center"/>
              <w:rPr>
                <w:rFonts w:ascii="Times New Roman" w:hAnsi="Times New Roman" w:cs="Times New Roman"/>
                <w:b/>
                <w:bCs/>
                <w:sz w:val="18"/>
                <w:szCs w:val="18"/>
                <w:lang w:val="hr-HR"/>
              </w:rPr>
            </w:pPr>
          </w:p>
        </w:tc>
        <w:tc>
          <w:tcPr>
            <w:tcW w:w="1244" w:type="dxa"/>
          </w:tcPr>
          <w:p w14:paraId="45C97B83" w14:textId="77777777" w:rsidR="00D759E1" w:rsidRPr="0086186A" w:rsidRDefault="00D759E1" w:rsidP="00D759E1">
            <w:pPr>
              <w:pStyle w:val="SorkznlklCESCI2020"/>
              <w:jc w:val="center"/>
              <w:rPr>
                <w:rFonts w:ascii="Times New Roman" w:hAnsi="Times New Roman" w:cs="Times New Roman"/>
                <w:b/>
                <w:bCs/>
                <w:sz w:val="18"/>
                <w:szCs w:val="18"/>
                <w:lang w:val="hr-HR"/>
              </w:rPr>
            </w:pPr>
          </w:p>
        </w:tc>
        <w:tc>
          <w:tcPr>
            <w:tcW w:w="1255" w:type="dxa"/>
            <w:shd w:val="clear" w:color="auto" w:fill="auto"/>
            <w:vAlign w:val="center"/>
          </w:tcPr>
          <w:p w14:paraId="3368A8ED" w14:textId="2DB2F764" w:rsidR="00D759E1" w:rsidRPr="0086186A" w:rsidRDefault="00D759E1" w:rsidP="00D759E1">
            <w:pPr>
              <w:pStyle w:val="SorkznlklCESCI2020"/>
              <w:jc w:val="center"/>
              <w:rPr>
                <w:rFonts w:ascii="Times New Roman" w:hAnsi="Times New Roman" w:cs="Times New Roman"/>
                <w:b/>
                <w:bCs/>
                <w:sz w:val="18"/>
                <w:szCs w:val="18"/>
                <w:lang w:val="hr-HR"/>
              </w:rPr>
            </w:pPr>
          </w:p>
        </w:tc>
        <w:tc>
          <w:tcPr>
            <w:tcW w:w="1282" w:type="dxa"/>
            <w:shd w:val="clear" w:color="auto" w:fill="auto"/>
            <w:vAlign w:val="center"/>
          </w:tcPr>
          <w:p w14:paraId="512552C1" w14:textId="77777777" w:rsidR="00D759E1" w:rsidRPr="0086186A" w:rsidRDefault="00D759E1" w:rsidP="00D759E1">
            <w:pPr>
              <w:pStyle w:val="SorkznlklCESCI2020"/>
              <w:jc w:val="center"/>
              <w:rPr>
                <w:rFonts w:ascii="Times New Roman" w:hAnsi="Times New Roman" w:cs="Times New Roman"/>
                <w:b/>
                <w:bCs/>
                <w:sz w:val="18"/>
                <w:szCs w:val="18"/>
                <w:lang w:val="hr-HR"/>
              </w:rPr>
            </w:pPr>
          </w:p>
        </w:tc>
        <w:tc>
          <w:tcPr>
            <w:tcW w:w="1344" w:type="dxa"/>
            <w:shd w:val="clear" w:color="auto" w:fill="auto"/>
            <w:vAlign w:val="center"/>
          </w:tcPr>
          <w:p w14:paraId="1FE49AF8" w14:textId="77777777" w:rsidR="00D759E1" w:rsidRPr="0086186A" w:rsidRDefault="00D759E1" w:rsidP="00D759E1">
            <w:pPr>
              <w:pStyle w:val="SorkznlklCESCI2020"/>
              <w:jc w:val="center"/>
              <w:rPr>
                <w:rFonts w:ascii="Times New Roman" w:hAnsi="Times New Roman" w:cs="Times New Roman"/>
                <w:b/>
                <w:bCs/>
                <w:sz w:val="18"/>
                <w:szCs w:val="18"/>
                <w:lang w:val="hr-HR"/>
              </w:rPr>
            </w:pPr>
          </w:p>
        </w:tc>
        <w:tc>
          <w:tcPr>
            <w:tcW w:w="1191" w:type="dxa"/>
            <w:shd w:val="clear" w:color="auto" w:fill="auto"/>
            <w:vAlign w:val="center"/>
          </w:tcPr>
          <w:p w14:paraId="2019E24E" w14:textId="77777777" w:rsidR="00D759E1" w:rsidRPr="0086186A" w:rsidRDefault="00D759E1" w:rsidP="00D759E1">
            <w:pPr>
              <w:pStyle w:val="SorkznlklCESCI2020"/>
              <w:jc w:val="center"/>
              <w:rPr>
                <w:rFonts w:ascii="Times New Roman" w:hAnsi="Times New Roman" w:cs="Times New Roman"/>
                <w:b/>
                <w:bCs/>
                <w:sz w:val="18"/>
                <w:szCs w:val="18"/>
                <w:lang w:val="hr-HR"/>
              </w:rPr>
            </w:pPr>
          </w:p>
        </w:tc>
      </w:tr>
      <w:tr w:rsidR="00E00B3C" w:rsidRPr="0086186A" w14:paraId="4E08408A" w14:textId="77777777" w:rsidTr="00D759E1">
        <w:trPr>
          <w:trHeight w:val="481"/>
          <w:jc w:val="center"/>
        </w:trPr>
        <w:tc>
          <w:tcPr>
            <w:tcW w:w="1597" w:type="dxa"/>
            <w:shd w:val="clear" w:color="auto" w:fill="auto"/>
          </w:tcPr>
          <w:p w14:paraId="0108B92D" w14:textId="02373F21" w:rsidR="00D759E1" w:rsidRPr="0086186A" w:rsidRDefault="002E2A74" w:rsidP="002E2A74">
            <w:pPr>
              <w:pStyle w:val="SorkznlklCESCI2020"/>
              <w:rPr>
                <w:rFonts w:ascii="Times New Roman" w:hAnsi="Times New Roman" w:cs="Times New Roman"/>
                <w:sz w:val="18"/>
                <w:szCs w:val="18"/>
                <w:lang w:val="hr-HR"/>
              </w:rPr>
            </w:pPr>
            <w:r w:rsidRPr="0086186A">
              <w:rPr>
                <w:rFonts w:ascii="Times New Roman" w:hAnsi="Times New Roman" w:cs="Times New Roman"/>
                <w:sz w:val="18"/>
                <w:szCs w:val="18"/>
                <w:lang w:val="hr-HR"/>
              </w:rPr>
              <w:t>Razvoj ljudskih resursa i uključenost</w:t>
            </w:r>
            <w:r w:rsidR="00D759E1" w:rsidRPr="0086186A">
              <w:rPr>
                <w:rFonts w:ascii="Times New Roman" w:hAnsi="Times New Roman" w:cs="Times New Roman"/>
                <w:sz w:val="18"/>
                <w:szCs w:val="18"/>
                <w:lang w:val="hr-HR"/>
              </w:rPr>
              <w:t xml:space="preserve"> </w:t>
            </w:r>
          </w:p>
          <w:p w14:paraId="46B4AC25" w14:textId="477C0698" w:rsidR="00D759E1" w:rsidRPr="0086186A" w:rsidRDefault="00D759E1" w:rsidP="00D759E1">
            <w:pPr>
              <w:pStyle w:val="SorkznlklCESCI2020"/>
              <w:rPr>
                <w:rFonts w:ascii="Times New Roman" w:hAnsi="Times New Roman" w:cs="Times New Roman"/>
                <w:sz w:val="18"/>
                <w:szCs w:val="18"/>
                <w:lang w:val="hr-HR"/>
              </w:rPr>
            </w:pPr>
            <w:r w:rsidRPr="0086186A">
              <w:rPr>
                <w:rFonts w:ascii="Times New Roman" w:hAnsi="Times New Roman" w:cs="Times New Roman"/>
                <w:sz w:val="18"/>
                <w:szCs w:val="18"/>
                <w:lang w:val="hr-HR"/>
              </w:rPr>
              <w:t xml:space="preserve">OP </w:t>
            </w:r>
            <w:r w:rsidR="002E2A74" w:rsidRPr="0086186A">
              <w:rPr>
                <w:rFonts w:ascii="Times New Roman" w:hAnsi="Times New Roman" w:cs="Times New Roman"/>
                <w:sz w:val="18"/>
                <w:szCs w:val="18"/>
                <w:lang w:val="hr-HR"/>
              </w:rPr>
              <w:t>Kompetencije i kohezija</w:t>
            </w:r>
          </w:p>
          <w:p w14:paraId="1C3CD525" w14:textId="4F278169" w:rsidR="00D759E1" w:rsidRPr="0086186A" w:rsidRDefault="00D759E1" w:rsidP="00D759E1">
            <w:pPr>
              <w:pStyle w:val="SorkznlklCESCI2020"/>
              <w:rPr>
                <w:rFonts w:ascii="Times New Roman" w:hAnsi="Times New Roman" w:cs="Times New Roman"/>
                <w:sz w:val="18"/>
                <w:szCs w:val="18"/>
                <w:lang w:val="hr-HR"/>
              </w:rPr>
            </w:pPr>
            <w:r w:rsidRPr="0086186A">
              <w:rPr>
                <w:rFonts w:ascii="Times New Roman" w:hAnsi="Times New Roman" w:cs="Times New Roman"/>
                <w:sz w:val="18"/>
                <w:szCs w:val="18"/>
                <w:lang w:val="hr-HR"/>
              </w:rPr>
              <w:t xml:space="preserve">OP </w:t>
            </w:r>
            <w:r w:rsidR="002E2A74" w:rsidRPr="0086186A">
              <w:rPr>
                <w:rFonts w:ascii="Times New Roman" w:hAnsi="Times New Roman" w:cs="Times New Roman"/>
                <w:sz w:val="18"/>
                <w:szCs w:val="18"/>
                <w:lang w:val="hr-HR"/>
              </w:rPr>
              <w:t>Učinkoviti ljudski resursi</w:t>
            </w:r>
            <w:r w:rsidRPr="0086186A">
              <w:rPr>
                <w:rFonts w:ascii="Times New Roman" w:hAnsi="Times New Roman" w:cs="Times New Roman"/>
                <w:sz w:val="18"/>
                <w:szCs w:val="18"/>
                <w:lang w:val="hr-HR"/>
              </w:rPr>
              <w:tab/>
            </w:r>
          </w:p>
        </w:tc>
        <w:tc>
          <w:tcPr>
            <w:tcW w:w="1407" w:type="dxa"/>
            <w:shd w:val="clear" w:color="auto" w:fill="auto"/>
            <w:vAlign w:val="center"/>
          </w:tcPr>
          <w:p w14:paraId="64C9B93E" w14:textId="77777777" w:rsidR="00D759E1" w:rsidRPr="0086186A" w:rsidRDefault="00D759E1" w:rsidP="00D759E1">
            <w:pPr>
              <w:pStyle w:val="SorkznlklCESCI2020"/>
              <w:jc w:val="center"/>
              <w:rPr>
                <w:rFonts w:ascii="Times New Roman" w:hAnsi="Times New Roman" w:cs="Times New Roman"/>
                <w:b/>
                <w:bCs/>
                <w:sz w:val="18"/>
                <w:szCs w:val="18"/>
                <w:lang w:val="hr-HR"/>
              </w:rPr>
            </w:pPr>
          </w:p>
        </w:tc>
        <w:tc>
          <w:tcPr>
            <w:tcW w:w="1244" w:type="dxa"/>
          </w:tcPr>
          <w:p w14:paraId="19DBBC3D" w14:textId="77777777" w:rsidR="00D759E1" w:rsidRPr="0086186A" w:rsidRDefault="00D759E1" w:rsidP="00D759E1">
            <w:pPr>
              <w:pStyle w:val="SorkznlklCESCI2020"/>
              <w:jc w:val="center"/>
              <w:rPr>
                <w:rFonts w:ascii="Times New Roman" w:hAnsi="Times New Roman" w:cs="Times New Roman"/>
                <w:b/>
                <w:bCs/>
                <w:sz w:val="18"/>
                <w:szCs w:val="18"/>
                <w:lang w:val="hr-HR"/>
              </w:rPr>
            </w:pPr>
          </w:p>
        </w:tc>
        <w:tc>
          <w:tcPr>
            <w:tcW w:w="1255" w:type="dxa"/>
            <w:shd w:val="clear" w:color="auto" w:fill="auto"/>
            <w:vAlign w:val="center"/>
          </w:tcPr>
          <w:p w14:paraId="29D46055" w14:textId="5D9435AB" w:rsidR="00D759E1" w:rsidRPr="0086186A" w:rsidRDefault="00D759E1" w:rsidP="00D759E1">
            <w:pPr>
              <w:pStyle w:val="SorkznlklCESCI2020"/>
              <w:jc w:val="center"/>
              <w:rPr>
                <w:rFonts w:ascii="Times New Roman" w:hAnsi="Times New Roman" w:cs="Times New Roman"/>
                <w:b/>
                <w:bCs/>
                <w:sz w:val="18"/>
                <w:szCs w:val="18"/>
                <w:lang w:val="hr-HR"/>
              </w:rPr>
            </w:pPr>
          </w:p>
        </w:tc>
        <w:tc>
          <w:tcPr>
            <w:tcW w:w="1282" w:type="dxa"/>
            <w:shd w:val="clear" w:color="auto" w:fill="auto"/>
            <w:vAlign w:val="center"/>
          </w:tcPr>
          <w:p w14:paraId="53806A6E" w14:textId="5FAD191B" w:rsidR="00D759E1" w:rsidRPr="0086186A" w:rsidRDefault="00D759E1" w:rsidP="00D759E1">
            <w:pPr>
              <w:pStyle w:val="SorkznlklCESCI2020"/>
              <w:jc w:val="center"/>
              <w:rPr>
                <w:rFonts w:ascii="Times New Roman" w:hAnsi="Times New Roman" w:cs="Times New Roman"/>
                <w:b/>
                <w:bCs/>
                <w:sz w:val="18"/>
                <w:szCs w:val="18"/>
                <w:lang w:val="hr-HR"/>
              </w:rPr>
            </w:pPr>
            <w:r w:rsidRPr="0086186A">
              <w:rPr>
                <w:rFonts w:ascii="Times New Roman" w:hAnsi="Times New Roman" w:cs="Times New Roman"/>
                <w:b/>
                <w:bCs/>
                <w:sz w:val="18"/>
                <w:szCs w:val="18"/>
                <w:lang w:val="hr-HR"/>
              </w:rPr>
              <w:t>+</w:t>
            </w:r>
            <w:r w:rsidR="00FA33D0" w:rsidRPr="0086186A">
              <w:rPr>
                <w:rFonts w:ascii="Times New Roman" w:hAnsi="Times New Roman" w:cs="Times New Roman"/>
                <w:b/>
                <w:bCs/>
                <w:sz w:val="18"/>
                <w:szCs w:val="18"/>
                <w:lang w:val="hr-HR"/>
              </w:rPr>
              <w:t>+</w:t>
            </w:r>
          </w:p>
        </w:tc>
        <w:tc>
          <w:tcPr>
            <w:tcW w:w="1344" w:type="dxa"/>
            <w:shd w:val="clear" w:color="auto" w:fill="auto"/>
            <w:vAlign w:val="center"/>
          </w:tcPr>
          <w:p w14:paraId="007FD7BB" w14:textId="4A32F4D0" w:rsidR="00D759E1" w:rsidRPr="0086186A" w:rsidRDefault="00FA33D0" w:rsidP="00D759E1">
            <w:pPr>
              <w:pStyle w:val="SorkznlklCESCI2020"/>
              <w:jc w:val="center"/>
              <w:rPr>
                <w:rFonts w:ascii="Times New Roman" w:hAnsi="Times New Roman" w:cs="Times New Roman"/>
                <w:b/>
                <w:bCs/>
                <w:sz w:val="18"/>
                <w:szCs w:val="18"/>
                <w:lang w:val="hr-HR"/>
              </w:rPr>
            </w:pPr>
            <w:r w:rsidRPr="0086186A">
              <w:rPr>
                <w:rFonts w:ascii="Times New Roman" w:hAnsi="Times New Roman" w:cs="Times New Roman"/>
                <w:b/>
                <w:bCs/>
                <w:sz w:val="18"/>
                <w:szCs w:val="18"/>
                <w:lang w:val="hr-HR"/>
              </w:rPr>
              <w:t>+</w:t>
            </w:r>
            <w:r w:rsidR="00D759E1" w:rsidRPr="0086186A">
              <w:rPr>
                <w:rFonts w:ascii="Times New Roman" w:hAnsi="Times New Roman" w:cs="Times New Roman"/>
                <w:b/>
                <w:bCs/>
                <w:sz w:val="18"/>
                <w:szCs w:val="18"/>
                <w:lang w:val="hr-HR"/>
              </w:rPr>
              <w:t>+</w:t>
            </w:r>
          </w:p>
        </w:tc>
        <w:tc>
          <w:tcPr>
            <w:tcW w:w="1191" w:type="dxa"/>
            <w:shd w:val="clear" w:color="auto" w:fill="auto"/>
            <w:vAlign w:val="center"/>
          </w:tcPr>
          <w:p w14:paraId="4383C546" w14:textId="77777777" w:rsidR="00D759E1" w:rsidRPr="0086186A" w:rsidRDefault="00D759E1" w:rsidP="00D759E1">
            <w:pPr>
              <w:pStyle w:val="SorkznlklCESCI2020"/>
              <w:jc w:val="center"/>
              <w:rPr>
                <w:rFonts w:ascii="Times New Roman" w:hAnsi="Times New Roman" w:cs="Times New Roman"/>
                <w:b/>
                <w:bCs/>
                <w:sz w:val="18"/>
                <w:szCs w:val="18"/>
                <w:lang w:val="hr-HR"/>
              </w:rPr>
            </w:pPr>
          </w:p>
        </w:tc>
      </w:tr>
      <w:tr w:rsidR="00E00B3C" w:rsidRPr="0086186A" w14:paraId="20DD542E" w14:textId="77777777" w:rsidTr="00FA33D0">
        <w:trPr>
          <w:trHeight w:val="481"/>
          <w:jc w:val="center"/>
        </w:trPr>
        <w:tc>
          <w:tcPr>
            <w:tcW w:w="1597" w:type="dxa"/>
            <w:shd w:val="clear" w:color="auto" w:fill="auto"/>
          </w:tcPr>
          <w:p w14:paraId="433E9059" w14:textId="614BAF5E" w:rsidR="002E2A74" w:rsidRPr="0086186A" w:rsidRDefault="002E2A74" w:rsidP="00D759E1">
            <w:pPr>
              <w:pStyle w:val="SorkznlklCESCI2020"/>
              <w:rPr>
                <w:rFonts w:ascii="Times New Roman" w:hAnsi="Times New Roman" w:cs="Times New Roman"/>
                <w:sz w:val="18"/>
                <w:szCs w:val="18"/>
                <w:lang w:val="hr-HR"/>
              </w:rPr>
            </w:pPr>
            <w:r w:rsidRPr="0086186A">
              <w:rPr>
                <w:rFonts w:ascii="Times New Roman" w:hAnsi="Times New Roman" w:cs="Times New Roman"/>
                <w:sz w:val="18"/>
                <w:szCs w:val="18"/>
                <w:lang w:val="hr-HR"/>
              </w:rPr>
              <w:t>Integrirani teritorijalni razvoj</w:t>
            </w:r>
          </w:p>
          <w:p w14:paraId="0BBDECE9" w14:textId="6990F471" w:rsidR="00D759E1" w:rsidRPr="0086186A" w:rsidRDefault="002E2A74" w:rsidP="002E2A74">
            <w:pPr>
              <w:pStyle w:val="SorkznlklCESCI2020"/>
              <w:rPr>
                <w:rFonts w:ascii="Times New Roman" w:hAnsi="Times New Roman" w:cs="Times New Roman"/>
                <w:sz w:val="18"/>
                <w:szCs w:val="18"/>
                <w:lang w:val="hr-HR"/>
              </w:rPr>
            </w:pPr>
            <w:r w:rsidRPr="0086186A">
              <w:rPr>
                <w:rFonts w:ascii="Times New Roman" w:hAnsi="Times New Roman" w:cs="Times New Roman"/>
                <w:sz w:val="18"/>
                <w:szCs w:val="18"/>
                <w:lang w:val="hr-HR"/>
              </w:rPr>
              <w:t>Integrirani teritorijalni program</w:t>
            </w:r>
          </w:p>
        </w:tc>
        <w:tc>
          <w:tcPr>
            <w:tcW w:w="1407" w:type="dxa"/>
            <w:shd w:val="clear" w:color="auto" w:fill="auto"/>
            <w:vAlign w:val="center"/>
          </w:tcPr>
          <w:p w14:paraId="10365028" w14:textId="5D370508" w:rsidR="00D759E1" w:rsidRPr="0086186A" w:rsidRDefault="00D759E1" w:rsidP="00D759E1">
            <w:pPr>
              <w:pStyle w:val="SorkznlklCESCI2020"/>
              <w:jc w:val="center"/>
              <w:rPr>
                <w:rFonts w:ascii="Times New Roman" w:hAnsi="Times New Roman" w:cs="Times New Roman"/>
                <w:b/>
                <w:bCs/>
                <w:sz w:val="18"/>
                <w:szCs w:val="18"/>
                <w:lang w:val="hr-HR"/>
              </w:rPr>
            </w:pPr>
            <w:r w:rsidRPr="0086186A">
              <w:rPr>
                <w:rFonts w:ascii="Times New Roman" w:hAnsi="Times New Roman" w:cs="Times New Roman"/>
                <w:b/>
                <w:bCs/>
                <w:sz w:val="18"/>
                <w:szCs w:val="18"/>
                <w:lang w:val="hr-HR"/>
              </w:rPr>
              <w:t>+</w:t>
            </w:r>
            <w:r w:rsidR="00FA33D0" w:rsidRPr="0086186A">
              <w:rPr>
                <w:rFonts w:ascii="Times New Roman" w:hAnsi="Times New Roman" w:cs="Times New Roman"/>
                <w:b/>
                <w:bCs/>
                <w:sz w:val="18"/>
                <w:szCs w:val="18"/>
                <w:lang w:val="hr-HR"/>
              </w:rPr>
              <w:t>+</w:t>
            </w:r>
          </w:p>
        </w:tc>
        <w:tc>
          <w:tcPr>
            <w:tcW w:w="1244" w:type="dxa"/>
            <w:vAlign w:val="center"/>
          </w:tcPr>
          <w:p w14:paraId="7A98FE29" w14:textId="13E25E92" w:rsidR="00D759E1" w:rsidRPr="0086186A" w:rsidRDefault="00D759E1" w:rsidP="00FA33D0">
            <w:pPr>
              <w:pStyle w:val="SorkznlklCESCI2020"/>
              <w:jc w:val="center"/>
              <w:rPr>
                <w:rFonts w:ascii="Times New Roman" w:hAnsi="Times New Roman" w:cs="Times New Roman"/>
                <w:b/>
                <w:bCs/>
                <w:sz w:val="18"/>
                <w:szCs w:val="18"/>
                <w:lang w:val="hr-HR"/>
              </w:rPr>
            </w:pPr>
          </w:p>
        </w:tc>
        <w:tc>
          <w:tcPr>
            <w:tcW w:w="1255" w:type="dxa"/>
            <w:shd w:val="clear" w:color="auto" w:fill="auto"/>
            <w:vAlign w:val="center"/>
          </w:tcPr>
          <w:p w14:paraId="0EADDA23" w14:textId="76B217EE" w:rsidR="00D759E1" w:rsidRPr="0086186A" w:rsidRDefault="00FA33D0" w:rsidP="00D759E1">
            <w:pPr>
              <w:pStyle w:val="SorkznlklCESCI2020"/>
              <w:jc w:val="center"/>
              <w:rPr>
                <w:rFonts w:ascii="Times New Roman" w:hAnsi="Times New Roman" w:cs="Times New Roman"/>
                <w:b/>
                <w:bCs/>
                <w:sz w:val="18"/>
                <w:szCs w:val="18"/>
                <w:lang w:val="hr-HR"/>
              </w:rPr>
            </w:pPr>
            <w:r w:rsidRPr="0086186A">
              <w:rPr>
                <w:rFonts w:ascii="Times New Roman" w:hAnsi="Times New Roman" w:cs="Times New Roman"/>
                <w:b/>
                <w:bCs/>
                <w:sz w:val="18"/>
                <w:szCs w:val="18"/>
                <w:lang w:val="hr-HR"/>
              </w:rPr>
              <w:t>+</w:t>
            </w:r>
            <w:r w:rsidR="00D759E1" w:rsidRPr="0086186A">
              <w:rPr>
                <w:rFonts w:ascii="Times New Roman" w:hAnsi="Times New Roman" w:cs="Times New Roman"/>
                <w:b/>
                <w:bCs/>
                <w:sz w:val="18"/>
                <w:szCs w:val="18"/>
                <w:lang w:val="hr-HR"/>
              </w:rPr>
              <w:t>+</w:t>
            </w:r>
          </w:p>
        </w:tc>
        <w:tc>
          <w:tcPr>
            <w:tcW w:w="1282" w:type="dxa"/>
            <w:shd w:val="clear" w:color="auto" w:fill="auto"/>
            <w:vAlign w:val="center"/>
          </w:tcPr>
          <w:p w14:paraId="3E962EC2" w14:textId="4537284E" w:rsidR="00D759E1" w:rsidRPr="0086186A" w:rsidRDefault="00FA33D0" w:rsidP="00D759E1">
            <w:pPr>
              <w:pStyle w:val="SorkznlklCESCI2020"/>
              <w:jc w:val="center"/>
              <w:rPr>
                <w:rFonts w:ascii="Times New Roman" w:hAnsi="Times New Roman" w:cs="Times New Roman"/>
                <w:b/>
                <w:bCs/>
                <w:sz w:val="18"/>
                <w:szCs w:val="18"/>
                <w:lang w:val="hr-HR"/>
              </w:rPr>
            </w:pPr>
            <w:r w:rsidRPr="0086186A">
              <w:rPr>
                <w:rFonts w:ascii="Times New Roman" w:hAnsi="Times New Roman" w:cs="Times New Roman"/>
                <w:b/>
                <w:bCs/>
                <w:sz w:val="18"/>
                <w:szCs w:val="18"/>
                <w:lang w:val="hr-HR"/>
              </w:rPr>
              <w:t>+</w:t>
            </w:r>
            <w:r w:rsidR="00D759E1" w:rsidRPr="0086186A">
              <w:rPr>
                <w:rFonts w:ascii="Times New Roman" w:hAnsi="Times New Roman" w:cs="Times New Roman"/>
                <w:b/>
                <w:bCs/>
                <w:sz w:val="18"/>
                <w:szCs w:val="18"/>
                <w:lang w:val="hr-HR"/>
              </w:rPr>
              <w:t>+</w:t>
            </w:r>
          </w:p>
        </w:tc>
        <w:tc>
          <w:tcPr>
            <w:tcW w:w="1344" w:type="dxa"/>
            <w:shd w:val="clear" w:color="auto" w:fill="auto"/>
            <w:vAlign w:val="center"/>
          </w:tcPr>
          <w:p w14:paraId="228C8B3D" w14:textId="7359BCF9" w:rsidR="00D759E1" w:rsidRPr="0086186A" w:rsidRDefault="00FA33D0" w:rsidP="00D759E1">
            <w:pPr>
              <w:pStyle w:val="SorkznlklCESCI2020"/>
              <w:jc w:val="center"/>
              <w:rPr>
                <w:rFonts w:ascii="Times New Roman" w:hAnsi="Times New Roman" w:cs="Times New Roman"/>
                <w:b/>
                <w:bCs/>
                <w:sz w:val="18"/>
                <w:szCs w:val="18"/>
                <w:lang w:val="hr-HR"/>
              </w:rPr>
            </w:pPr>
            <w:r w:rsidRPr="0086186A">
              <w:rPr>
                <w:rFonts w:ascii="Times New Roman" w:hAnsi="Times New Roman" w:cs="Times New Roman"/>
                <w:b/>
                <w:bCs/>
                <w:sz w:val="18"/>
                <w:szCs w:val="18"/>
                <w:lang w:val="hr-HR"/>
              </w:rPr>
              <w:t>+</w:t>
            </w:r>
            <w:r w:rsidR="00D759E1" w:rsidRPr="0086186A">
              <w:rPr>
                <w:rFonts w:ascii="Times New Roman" w:hAnsi="Times New Roman" w:cs="Times New Roman"/>
                <w:b/>
                <w:bCs/>
                <w:sz w:val="18"/>
                <w:szCs w:val="18"/>
                <w:lang w:val="hr-HR"/>
              </w:rPr>
              <w:t>+</w:t>
            </w:r>
          </w:p>
        </w:tc>
        <w:tc>
          <w:tcPr>
            <w:tcW w:w="1191" w:type="dxa"/>
            <w:shd w:val="clear" w:color="auto" w:fill="auto"/>
            <w:vAlign w:val="center"/>
          </w:tcPr>
          <w:p w14:paraId="04C676EF" w14:textId="1D43D41B" w:rsidR="00D759E1" w:rsidRPr="0086186A" w:rsidRDefault="00FA33D0" w:rsidP="00D759E1">
            <w:pPr>
              <w:pStyle w:val="SorkznlklCESCI2020"/>
              <w:jc w:val="center"/>
              <w:rPr>
                <w:rFonts w:ascii="Times New Roman" w:hAnsi="Times New Roman" w:cs="Times New Roman"/>
                <w:b/>
                <w:bCs/>
                <w:sz w:val="18"/>
                <w:szCs w:val="18"/>
                <w:lang w:val="hr-HR"/>
              </w:rPr>
            </w:pPr>
            <w:r w:rsidRPr="0086186A">
              <w:rPr>
                <w:rFonts w:ascii="Times New Roman" w:hAnsi="Times New Roman" w:cs="Times New Roman"/>
                <w:b/>
                <w:bCs/>
                <w:sz w:val="18"/>
                <w:szCs w:val="18"/>
                <w:lang w:val="hr-HR"/>
              </w:rPr>
              <w:t>+</w:t>
            </w:r>
          </w:p>
        </w:tc>
      </w:tr>
      <w:tr w:rsidR="00E00B3C" w:rsidRPr="0086186A" w14:paraId="57D484A4" w14:textId="77777777" w:rsidTr="006C5284">
        <w:trPr>
          <w:trHeight w:val="481"/>
          <w:jc w:val="center"/>
        </w:trPr>
        <w:tc>
          <w:tcPr>
            <w:tcW w:w="1597" w:type="dxa"/>
            <w:shd w:val="clear" w:color="auto" w:fill="auto"/>
          </w:tcPr>
          <w:p w14:paraId="7EAE30BA" w14:textId="62D573BD" w:rsidR="00D759E1" w:rsidRPr="0086186A" w:rsidRDefault="00D759E1" w:rsidP="00D759E1">
            <w:pPr>
              <w:pStyle w:val="SorkznlklCESCI2020"/>
              <w:rPr>
                <w:rFonts w:ascii="Times New Roman" w:hAnsi="Times New Roman" w:cs="Times New Roman"/>
                <w:sz w:val="18"/>
                <w:szCs w:val="18"/>
                <w:lang w:val="hr-HR"/>
              </w:rPr>
            </w:pPr>
            <w:r w:rsidRPr="0086186A">
              <w:rPr>
                <w:rFonts w:ascii="Times New Roman" w:hAnsi="Times New Roman" w:cs="Times New Roman"/>
                <w:sz w:val="18"/>
                <w:szCs w:val="18"/>
                <w:lang w:val="hr-HR"/>
              </w:rPr>
              <w:t xml:space="preserve">SO </w:t>
            </w:r>
            <w:r w:rsidR="002E2A74" w:rsidRPr="0086186A">
              <w:rPr>
                <w:rFonts w:ascii="Times New Roman" w:hAnsi="Times New Roman" w:cs="Times New Roman"/>
                <w:sz w:val="18"/>
                <w:szCs w:val="18"/>
                <w:lang w:val="hr-HR"/>
              </w:rPr>
              <w:t>Fond za pravednu tranziciju</w:t>
            </w:r>
          </w:p>
          <w:p w14:paraId="7B904C2C" w14:textId="31F421EB" w:rsidR="00D759E1" w:rsidRPr="0086186A" w:rsidRDefault="002E2A74" w:rsidP="002E2A74">
            <w:pPr>
              <w:pStyle w:val="SorkznlklCESCI2020"/>
              <w:rPr>
                <w:rFonts w:ascii="Times New Roman" w:hAnsi="Times New Roman" w:cs="Times New Roman"/>
                <w:sz w:val="18"/>
                <w:szCs w:val="18"/>
                <w:lang w:val="hr-HR"/>
              </w:rPr>
            </w:pPr>
            <w:r w:rsidRPr="0086186A">
              <w:rPr>
                <w:rFonts w:ascii="Times New Roman" w:hAnsi="Times New Roman" w:cs="Times New Roman"/>
                <w:sz w:val="18"/>
                <w:szCs w:val="18"/>
                <w:lang w:val="hr-HR"/>
              </w:rPr>
              <w:t>Integrirani teritorijalni program</w:t>
            </w:r>
          </w:p>
        </w:tc>
        <w:tc>
          <w:tcPr>
            <w:tcW w:w="1407" w:type="dxa"/>
            <w:shd w:val="clear" w:color="auto" w:fill="auto"/>
            <w:vAlign w:val="center"/>
          </w:tcPr>
          <w:p w14:paraId="69C736E2" w14:textId="77777777" w:rsidR="00D759E1" w:rsidRPr="0086186A" w:rsidRDefault="00D759E1" w:rsidP="00D759E1">
            <w:pPr>
              <w:pStyle w:val="SorkznlklCESCI2020"/>
              <w:jc w:val="center"/>
              <w:rPr>
                <w:rFonts w:ascii="Times New Roman" w:hAnsi="Times New Roman" w:cs="Times New Roman"/>
                <w:b/>
                <w:bCs/>
                <w:sz w:val="18"/>
                <w:szCs w:val="18"/>
                <w:lang w:val="hr-HR"/>
              </w:rPr>
            </w:pPr>
          </w:p>
        </w:tc>
        <w:tc>
          <w:tcPr>
            <w:tcW w:w="1244" w:type="dxa"/>
            <w:vAlign w:val="center"/>
          </w:tcPr>
          <w:p w14:paraId="7F5F38E1" w14:textId="3832512D" w:rsidR="00D759E1" w:rsidRPr="0086186A" w:rsidRDefault="006C5284" w:rsidP="006C5284">
            <w:pPr>
              <w:pStyle w:val="SorkznlklCESCI2020"/>
              <w:jc w:val="center"/>
              <w:rPr>
                <w:rFonts w:ascii="Times New Roman" w:hAnsi="Times New Roman" w:cs="Times New Roman"/>
                <w:b/>
                <w:bCs/>
                <w:sz w:val="18"/>
                <w:szCs w:val="18"/>
                <w:lang w:val="hr-HR"/>
              </w:rPr>
            </w:pPr>
            <w:r w:rsidRPr="0086186A">
              <w:rPr>
                <w:rFonts w:ascii="Times New Roman" w:hAnsi="Times New Roman" w:cs="Times New Roman"/>
                <w:b/>
                <w:bCs/>
                <w:sz w:val="18"/>
                <w:szCs w:val="18"/>
                <w:lang w:val="hr-HR"/>
              </w:rPr>
              <w:t>+</w:t>
            </w:r>
            <w:r w:rsidR="00FA33D0" w:rsidRPr="0086186A">
              <w:rPr>
                <w:rFonts w:ascii="Times New Roman" w:hAnsi="Times New Roman" w:cs="Times New Roman"/>
                <w:b/>
                <w:bCs/>
                <w:sz w:val="18"/>
                <w:szCs w:val="18"/>
                <w:lang w:val="hr-HR"/>
              </w:rPr>
              <w:t>+</w:t>
            </w:r>
          </w:p>
        </w:tc>
        <w:tc>
          <w:tcPr>
            <w:tcW w:w="1255" w:type="dxa"/>
            <w:shd w:val="clear" w:color="auto" w:fill="auto"/>
            <w:vAlign w:val="center"/>
          </w:tcPr>
          <w:p w14:paraId="1A916288" w14:textId="39DBDA59" w:rsidR="00D759E1" w:rsidRPr="0086186A" w:rsidRDefault="00D759E1" w:rsidP="00D759E1">
            <w:pPr>
              <w:pStyle w:val="SorkznlklCESCI2020"/>
              <w:jc w:val="center"/>
              <w:rPr>
                <w:rFonts w:ascii="Times New Roman" w:hAnsi="Times New Roman" w:cs="Times New Roman"/>
                <w:b/>
                <w:bCs/>
                <w:sz w:val="18"/>
                <w:szCs w:val="18"/>
                <w:lang w:val="hr-HR"/>
              </w:rPr>
            </w:pPr>
            <w:r w:rsidRPr="0086186A">
              <w:rPr>
                <w:rFonts w:ascii="Times New Roman" w:hAnsi="Times New Roman" w:cs="Times New Roman"/>
                <w:b/>
                <w:bCs/>
                <w:sz w:val="18"/>
                <w:szCs w:val="18"/>
                <w:lang w:val="hr-HR"/>
              </w:rPr>
              <w:t>+</w:t>
            </w:r>
            <w:r w:rsidR="00FA33D0" w:rsidRPr="0086186A">
              <w:rPr>
                <w:rFonts w:ascii="Times New Roman" w:hAnsi="Times New Roman" w:cs="Times New Roman"/>
                <w:b/>
                <w:bCs/>
                <w:sz w:val="18"/>
                <w:szCs w:val="18"/>
                <w:lang w:val="hr-HR"/>
              </w:rPr>
              <w:t>+</w:t>
            </w:r>
          </w:p>
        </w:tc>
        <w:tc>
          <w:tcPr>
            <w:tcW w:w="1282" w:type="dxa"/>
            <w:shd w:val="clear" w:color="auto" w:fill="auto"/>
            <w:vAlign w:val="center"/>
          </w:tcPr>
          <w:p w14:paraId="567DBA7F" w14:textId="5BDFBEFC" w:rsidR="00D759E1" w:rsidRPr="0086186A" w:rsidRDefault="00D759E1" w:rsidP="00D759E1">
            <w:pPr>
              <w:pStyle w:val="SorkznlklCESCI2020"/>
              <w:jc w:val="center"/>
              <w:rPr>
                <w:rFonts w:ascii="Times New Roman" w:hAnsi="Times New Roman" w:cs="Times New Roman"/>
                <w:b/>
                <w:bCs/>
                <w:sz w:val="18"/>
                <w:szCs w:val="18"/>
                <w:lang w:val="hr-HR"/>
              </w:rPr>
            </w:pPr>
          </w:p>
        </w:tc>
        <w:tc>
          <w:tcPr>
            <w:tcW w:w="1344" w:type="dxa"/>
            <w:shd w:val="clear" w:color="auto" w:fill="auto"/>
            <w:vAlign w:val="center"/>
          </w:tcPr>
          <w:p w14:paraId="306871BB" w14:textId="77777777" w:rsidR="00D759E1" w:rsidRPr="0086186A" w:rsidRDefault="00D759E1" w:rsidP="00D759E1">
            <w:pPr>
              <w:pStyle w:val="SorkznlklCESCI2020"/>
              <w:jc w:val="center"/>
              <w:rPr>
                <w:rFonts w:ascii="Times New Roman" w:hAnsi="Times New Roman" w:cs="Times New Roman"/>
                <w:b/>
                <w:bCs/>
                <w:sz w:val="18"/>
                <w:szCs w:val="18"/>
                <w:lang w:val="hr-HR"/>
              </w:rPr>
            </w:pPr>
          </w:p>
        </w:tc>
        <w:tc>
          <w:tcPr>
            <w:tcW w:w="1191" w:type="dxa"/>
            <w:shd w:val="clear" w:color="auto" w:fill="auto"/>
            <w:vAlign w:val="center"/>
          </w:tcPr>
          <w:p w14:paraId="31DFD360" w14:textId="77777777" w:rsidR="00D759E1" w:rsidRPr="0086186A" w:rsidRDefault="00D759E1" w:rsidP="00D759E1">
            <w:pPr>
              <w:pStyle w:val="SorkznlklCESCI2020"/>
              <w:jc w:val="center"/>
              <w:rPr>
                <w:rFonts w:ascii="Times New Roman" w:hAnsi="Times New Roman" w:cs="Times New Roman"/>
                <w:b/>
                <w:bCs/>
                <w:sz w:val="18"/>
                <w:szCs w:val="18"/>
                <w:lang w:val="hr-HR"/>
              </w:rPr>
            </w:pPr>
          </w:p>
        </w:tc>
      </w:tr>
    </w:tbl>
    <w:p w14:paraId="4EEF6966" w14:textId="77777777" w:rsidR="00D759E1" w:rsidRPr="0086186A" w:rsidRDefault="00D759E1" w:rsidP="00D759E1">
      <w:pPr>
        <w:pStyle w:val="BodyText"/>
        <w:ind w:left="170" w:right="135"/>
        <w:jc w:val="both"/>
        <w:rPr>
          <w:rFonts w:ascii="Times New Roman" w:hAnsi="Times New Roman" w:cs="Times New Roman"/>
          <w:sz w:val="20"/>
          <w:szCs w:val="20"/>
          <w:lang w:val="hr-HR"/>
        </w:rPr>
      </w:pPr>
    </w:p>
    <w:p w14:paraId="51AB56E1" w14:textId="5799118A" w:rsidR="00D759E1" w:rsidRPr="0086186A" w:rsidRDefault="002E2A74" w:rsidP="00D759E1">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Nacionalni programi koji se financiraju iz hrvatskog državnog proračuna također mogu doprinijeti ciljevima Programa prekogranične suradnje: programi Hrvatske agencije za </w:t>
      </w:r>
      <w:proofErr w:type="spellStart"/>
      <w:r w:rsidRPr="0086186A">
        <w:rPr>
          <w:rFonts w:ascii="Times New Roman" w:hAnsi="Times New Roman" w:cs="Times New Roman"/>
          <w:sz w:val="20"/>
          <w:szCs w:val="20"/>
          <w:lang w:val="hr-HR"/>
        </w:rPr>
        <w:t>MSP</w:t>
      </w:r>
      <w:proofErr w:type="spellEnd"/>
      <w:r w:rsidRPr="0086186A">
        <w:rPr>
          <w:rFonts w:ascii="Times New Roman" w:hAnsi="Times New Roman" w:cs="Times New Roman"/>
          <w:sz w:val="20"/>
          <w:szCs w:val="20"/>
          <w:lang w:val="hr-HR"/>
        </w:rPr>
        <w:t xml:space="preserve">-ove, inovacije i ulaganja (primjerice </w:t>
      </w:r>
      <w:r w:rsidR="00674BA8" w:rsidRPr="0086186A">
        <w:rPr>
          <w:rFonts w:ascii="Times New Roman" w:hAnsi="Times New Roman" w:cs="Times New Roman"/>
          <w:i/>
          <w:iCs/>
          <w:sz w:val="20"/>
          <w:szCs w:val="20"/>
          <w:lang w:val="hr-HR"/>
        </w:rPr>
        <w:t>Dokaz koncepta</w:t>
      </w:r>
      <w:r w:rsidR="00674BA8" w:rsidRPr="0086186A">
        <w:rPr>
          <w:rFonts w:ascii="Times New Roman" w:hAnsi="Times New Roman" w:cs="Times New Roman"/>
          <w:sz w:val="20"/>
          <w:szCs w:val="20"/>
          <w:lang w:val="hr-HR"/>
        </w:rPr>
        <w:t xml:space="preserve">, </w:t>
      </w:r>
      <w:r w:rsidR="00674BA8" w:rsidRPr="0086186A">
        <w:rPr>
          <w:rFonts w:ascii="Times New Roman" w:hAnsi="Times New Roman" w:cs="Times New Roman"/>
          <w:i/>
          <w:iCs/>
          <w:sz w:val="20"/>
          <w:szCs w:val="20"/>
          <w:lang w:val="hr-HR"/>
        </w:rPr>
        <w:t>Nacionalna jamstva</w:t>
      </w:r>
      <w:r w:rsidR="00674BA8" w:rsidRPr="0086186A">
        <w:rPr>
          <w:rFonts w:ascii="Times New Roman" w:hAnsi="Times New Roman" w:cs="Times New Roman"/>
          <w:sz w:val="20"/>
          <w:szCs w:val="20"/>
          <w:lang w:val="hr-HR"/>
        </w:rPr>
        <w:t xml:space="preserve">), programi </w:t>
      </w:r>
      <w:r w:rsidR="0088663D" w:rsidRPr="0086186A">
        <w:rPr>
          <w:rFonts w:ascii="Times New Roman" w:hAnsi="Times New Roman" w:cs="Times New Roman"/>
          <w:sz w:val="20"/>
          <w:szCs w:val="20"/>
          <w:lang w:val="hr-HR"/>
        </w:rPr>
        <w:t xml:space="preserve">dodjele bespovratnih sredstava Fonda za zaštitu okoliša i energetsku učinkovitost, programi Ministarstva turizma i sporta za podršku profesionalnim udruženjima i strukovnim stipendijama, programi državne potpore </w:t>
      </w:r>
      <w:r w:rsidR="000C138C" w:rsidRPr="0086186A">
        <w:rPr>
          <w:rFonts w:ascii="Times New Roman" w:hAnsi="Times New Roman" w:cs="Times New Roman"/>
          <w:sz w:val="20"/>
          <w:szCs w:val="20"/>
          <w:lang w:val="hr-HR"/>
        </w:rPr>
        <w:t>koje</w:t>
      </w:r>
      <w:r w:rsidR="0088663D" w:rsidRPr="0086186A">
        <w:rPr>
          <w:rFonts w:ascii="Times New Roman" w:hAnsi="Times New Roman" w:cs="Times New Roman"/>
          <w:sz w:val="20"/>
          <w:szCs w:val="20"/>
          <w:lang w:val="hr-HR"/>
        </w:rPr>
        <w:t xml:space="preserve"> vodi Ministarstvo gospodarstva i održivog razvoja itd.</w:t>
      </w:r>
    </w:p>
    <w:p w14:paraId="5374745C" w14:textId="35A0C490" w:rsidR="0088663D" w:rsidRPr="0086186A" w:rsidRDefault="0088663D" w:rsidP="00D759E1">
      <w:pPr>
        <w:pStyle w:val="BodyText"/>
        <w:ind w:left="170" w:right="135"/>
        <w:jc w:val="both"/>
        <w:rPr>
          <w:rFonts w:ascii="Times New Roman" w:hAnsi="Times New Roman" w:cs="Times New Roman"/>
          <w:sz w:val="20"/>
          <w:szCs w:val="20"/>
          <w:lang w:val="hr-HR"/>
        </w:rPr>
      </w:pPr>
    </w:p>
    <w:p w14:paraId="73A1ABAA" w14:textId="2C71AD87" w:rsidR="0088663D" w:rsidRPr="0086186A" w:rsidRDefault="0088663D" w:rsidP="00D759E1">
      <w:pPr>
        <w:pStyle w:val="BodyText"/>
        <w:ind w:left="170" w:right="135"/>
        <w:jc w:val="both"/>
        <w:rPr>
          <w:rFonts w:ascii="Times New Roman" w:hAnsi="Times New Roman" w:cs="Times New Roman"/>
          <w:sz w:val="20"/>
          <w:szCs w:val="20"/>
          <w:lang w:val="hr-HR"/>
        </w:rPr>
      </w:pPr>
      <w:r w:rsidRPr="0086186A">
        <w:rPr>
          <w:rFonts w:ascii="Times New Roman" w:hAnsi="Times New Roman" w:cs="Times New Roman"/>
          <w:sz w:val="20"/>
          <w:szCs w:val="20"/>
          <w:lang w:val="hr-HR"/>
        </w:rPr>
        <w:t>Slični ciljevi u Hrvatskoj se financiraju i iz drugih izvora, kao što je, primjerice, Europsko gospodarsko područje i Norveški financijski mehanizam.</w:t>
      </w:r>
    </w:p>
    <w:p w14:paraId="500E33A0" w14:textId="201AF11B" w:rsidR="00D759E1" w:rsidRPr="0086186A" w:rsidRDefault="00D759E1" w:rsidP="00D759E1">
      <w:pPr>
        <w:pStyle w:val="BodyText"/>
        <w:ind w:left="170" w:right="135"/>
        <w:jc w:val="both"/>
        <w:rPr>
          <w:rFonts w:asciiTheme="majorBidi" w:hAnsiTheme="majorBidi" w:cstheme="majorBidi"/>
          <w:sz w:val="20"/>
          <w:szCs w:val="20"/>
          <w:lang w:val="hr-HR"/>
        </w:rPr>
      </w:pPr>
      <w:r w:rsidRPr="0086186A">
        <w:rPr>
          <w:rFonts w:asciiTheme="majorBidi" w:hAnsiTheme="majorBidi" w:cstheme="majorBidi"/>
          <w:sz w:val="20"/>
          <w:szCs w:val="20"/>
          <w:lang w:val="hr-HR"/>
        </w:rPr>
        <w:t xml:space="preserve"> </w:t>
      </w:r>
    </w:p>
    <w:p w14:paraId="3912A162" w14:textId="764671B0" w:rsidR="005B5426" w:rsidRPr="0086186A" w:rsidRDefault="005B5426" w:rsidP="00E92329">
      <w:pPr>
        <w:pStyle w:val="BodyText"/>
        <w:ind w:right="135"/>
        <w:jc w:val="both"/>
        <w:rPr>
          <w:rFonts w:ascii="Times New Roman" w:hAnsi="Times New Roman" w:cs="Times New Roman"/>
          <w:sz w:val="20"/>
          <w:szCs w:val="20"/>
          <w:lang w:val="hr-HR"/>
        </w:rPr>
      </w:pPr>
    </w:p>
    <w:bookmarkEnd w:id="0"/>
    <w:bookmarkEnd w:id="1"/>
    <w:p w14:paraId="5A73F34A" w14:textId="77777777" w:rsidR="00E257A5" w:rsidRPr="0086186A" w:rsidRDefault="00E257A5" w:rsidP="00D8786F">
      <w:pPr>
        <w:pStyle w:val="ListParagraph"/>
        <w:spacing w:after="0"/>
        <w:ind w:left="792"/>
        <w:jc w:val="both"/>
        <w:rPr>
          <w:rFonts w:eastAsia="Times New Roman" w:cs="Times New Roman"/>
          <w:b/>
          <w:noProof/>
          <w:color w:val="000000"/>
          <w:sz w:val="20"/>
          <w:szCs w:val="20"/>
          <w:lang w:val="hr-HR" w:eastAsia="en-GB"/>
        </w:rPr>
      </w:pPr>
      <w:r w:rsidRPr="0086186A">
        <w:rPr>
          <w:rFonts w:eastAsia="Times New Roman" w:cs="Times New Roman"/>
          <w:b/>
          <w:noProof/>
          <w:color w:val="000000"/>
          <w:sz w:val="20"/>
          <w:szCs w:val="20"/>
          <w:lang w:val="hr-HR" w:eastAsia="en-GB"/>
        </w:rPr>
        <w:br w:type="page"/>
      </w:r>
    </w:p>
    <w:p w14:paraId="2D495073" w14:textId="77777777" w:rsidR="00A83F15" w:rsidRPr="0086186A" w:rsidRDefault="00A83F15" w:rsidP="0090125E">
      <w:pPr>
        <w:pStyle w:val="ListParagraph"/>
        <w:spacing w:after="0"/>
        <w:ind w:left="792"/>
        <w:jc w:val="both"/>
        <w:rPr>
          <w:rFonts w:eastAsia="Times New Roman" w:cs="Times New Roman"/>
          <w:b/>
          <w:noProof/>
          <w:color w:val="000000"/>
          <w:sz w:val="20"/>
          <w:szCs w:val="20"/>
          <w:lang w:val="hr-HR" w:eastAsia="en-GB"/>
        </w:rPr>
        <w:sectPr w:rsidR="00A83F15" w:rsidRPr="0086186A" w:rsidSect="002223E2">
          <w:headerReference w:type="default" r:id="rId8"/>
          <w:footerReference w:type="default" r:id="rId9"/>
          <w:pgSz w:w="11906" w:h="16838"/>
          <w:pgMar w:top="1417" w:right="1417" w:bottom="1417" w:left="1417" w:header="708" w:footer="708" w:gutter="0"/>
          <w:pgNumType w:start="0"/>
          <w:cols w:space="720"/>
          <w:titlePg/>
          <w:docGrid w:linePitch="360"/>
        </w:sectPr>
      </w:pPr>
    </w:p>
    <w:p w14:paraId="76932128" w14:textId="1371B883" w:rsidR="006F2783" w:rsidRPr="0086186A" w:rsidRDefault="0088663D" w:rsidP="0088663D">
      <w:pPr>
        <w:pStyle w:val="BodyText"/>
        <w:ind w:left="170" w:right="135"/>
        <w:jc w:val="both"/>
        <w:rPr>
          <w:rFonts w:ascii="Times New Roman" w:hAnsi="Times New Roman" w:cs="Times New Roman"/>
          <w:b/>
          <w:sz w:val="20"/>
          <w:szCs w:val="20"/>
          <w:lang w:val="hr-HR"/>
        </w:rPr>
      </w:pPr>
      <w:r w:rsidRPr="0086186A">
        <w:rPr>
          <w:rFonts w:ascii="Times New Roman" w:hAnsi="Times New Roman" w:cs="Times New Roman"/>
          <w:b/>
          <w:sz w:val="20"/>
          <w:szCs w:val="20"/>
          <w:lang w:val="hr-HR"/>
        </w:rPr>
        <w:lastRenderedPageBreak/>
        <w:t>Sinergije s drugim programima</w:t>
      </w:r>
    </w:p>
    <w:p w14:paraId="17C56436" w14:textId="0AA229F6" w:rsidR="0088663D" w:rsidRPr="0086186A" w:rsidRDefault="0088663D" w:rsidP="0088663D">
      <w:pPr>
        <w:pStyle w:val="BodyText"/>
        <w:ind w:left="170" w:right="135"/>
        <w:jc w:val="both"/>
        <w:rPr>
          <w:rFonts w:ascii="Times New Roman" w:hAnsi="Times New Roman" w:cs="Times New Roman"/>
          <w:b/>
          <w:sz w:val="20"/>
          <w:szCs w:val="20"/>
          <w:lang w:val="hr-HR"/>
        </w:rPr>
      </w:pPr>
    </w:p>
    <w:p w14:paraId="0A307AA4" w14:textId="469B7385" w:rsidR="0088663D" w:rsidRPr="0086186A" w:rsidRDefault="0088663D" w:rsidP="0088663D">
      <w:pPr>
        <w:pStyle w:val="BodyText"/>
        <w:ind w:left="170" w:right="135"/>
        <w:jc w:val="both"/>
        <w:rPr>
          <w:rFonts w:ascii="Times New Roman" w:hAnsi="Times New Roman" w:cs="Times New Roman"/>
          <w:bCs/>
          <w:sz w:val="20"/>
          <w:szCs w:val="20"/>
          <w:lang w:val="hr-HR"/>
        </w:rPr>
      </w:pPr>
      <w:r w:rsidRPr="0086186A">
        <w:rPr>
          <w:rFonts w:ascii="Times New Roman" w:hAnsi="Times New Roman" w:cs="Times New Roman"/>
          <w:bCs/>
          <w:sz w:val="20"/>
          <w:szCs w:val="20"/>
          <w:lang w:val="hr-HR"/>
        </w:rPr>
        <w:t>U Višegodišnjem financijskom okviru EU-a za razdoblje od 2021. do 2027. dodijeljena je trećina ukupnih sredstava (</w:t>
      </w:r>
      <w:proofErr w:type="spellStart"/>
      <w:r w:rsidRPr="0086186A">
        <w:rPr>
          <w:rFonts w:ascii="Times New Roman" w:hAnsi="Times New Roman" w:cs="Times New Roman"/>
          <w:bCs/>
          <w:sz w:val="20"/>
          <w:szCs w:val="20"/>
          <w:lang w:val="hr-HR"/>
        </w:rPr>
        <w:t>VFO</w:t>
      </w:r>
      <w:proofErr w:type="spellEnd"/>
      <w:r w:rsidRPr="0086186A">
        <w:rPr>
          <w:rFonts w:ascii="Times New Roman" w:hAnsi="Times New Roman" w:cs="Times New Roman"/>
          <w:bCs/>
          <w:sz w:val="20"/>
          <w:szCs w:val="20"/>
          <w:lang w:val="hr-HR"/>
        </w:rPr>
        <w:t>, 1,211 milijarda eura) za programe kojima se izravno upravlja na razini EU-a (koji se zovu Novi i ojačani prioriteti).</w:t>
      </w:r>
      <w:r w:rsidR="0095675A" w:rsidRPr="0086186A">
        <w:rPr>
          <w:rFonts w:ascii="Times New Roman" w:hAnsi="Times New Roman" w:cs="Times New Roman"/>
          <w:bCs/>
          <w:sz w:val="20"/>
          <w:szCs w:val="20"/>
          <w:lang w:val="hr-HR"/>
        </w:rPr>
        <w:t xml:space="preserve"> To uključuje barem deset programa koji će potencijalno omogućiti financiranje ili drugu podršku za urbani, regionalni i infrastrukturni razvoj. Zbog činjenice da nekoliko tih programa postavlja visoku ljestvicu veličine i/ili složenosti projekta, njihova važnost za pograničnu regiju Mađarska-Hrvatska ocjenjuje se ne samo prema tematskim područjima, već i potencijalnoj primjenjivosti za korisnike u pograničnom području. Tablica u nastavku uključuje i tri transnacionalna </w:t>
      </w:r>
      <w:proofErr w:type="spellStart"/>
      <w:r w:rsidR="0095675A" w:rsidRPr="0086186A">
        <w:rPr>
          <w:rFonts w:ascii="Times New Roman" w:hAnsi="Times New Roman" w:cs="Times New Roman"/>
          <w:bCs/>
          <w:sz w:val="20"/>
          <w:szCs w:val="20"/>
          <w:lang w:val="hr-HR"/>
        </w:rPr>
        <w:t>Interreg</w:t>
      </w:r>
      <w:proofErr w:type="spellEnd"/>
      <w:r w:rsidR="0095675A" w:rsidRPr="0086186A">
        <w:rPr>
          <w:rFonts w:ascii="Times New Roman" w:hAnsi="Times New Roman" w:cs="Times New Roman"/>
          <w:bCs/>
          <w:sz w:val="20"/>
          <w:szCs w:val="20"/>
          <w:lang w:val="hr-HR"/>
        </w:rPr>
        <w:t xml:space="preserve"> programa koji se financiraju iz </w:t>
      </w:r>
      <w:proofErr w:type="spellStart"/>
      <w:r w:rsidR="0095675A" w:rsidRPr="0086186A">
        <w:rPr>
          <w:rFonts w:ascii="Times New Roman" w:hAnsi="Times New Roman" w:cs="Times New Roman"/>
          <w:bCs/>
          <w:sz w:val="20"/>
          <w:szCs w:val="20"/>
          <w:lang w:val="hr-HR"/>
        </w:rPr>
        <w:t>ERDF</w:t>
      </w:r>
      <w:proofErr w:type="spellEnd"/>
      <w:r w:rsidR="0095675A" w:rsidRPr="0086186A">
        <w:rPr>
          <w:rFonts w:ascii="Times New Roman" w:hAnsi="Times New Roman" w:cs="Times New Roman"/>
          <w:bCs/>
          <w:sz w:val="20"/>
          <w:szCs w:val="20"/>
          <w:lang w:val="hr-HR"/>
        </w:rPr>
        <w:t>-a i koji uključuju pogranično područje u svom programskom području.</w:t>
      </w:r>
    </w:p>
    <w:p w14:paraId="056BECE7" w14:textId="77777777" w:rsidR="006F2783" w:rsidRPr="0086186A" w:rsidRDefault="006F2783" w:rsidP="006F2783">
      <w:pPr>
        <w:pStyle w:val="BodyText"/>
        <w:ind w:left="170" w:right="135"/>
        <w:jc w:val="both"/>
        <w:rPr>
          <w:rFonts w:ascii="Times New Roman" w:hAnsi="Times New Roman" w:cs="Times New Roman"/>
          <w:sz w:val="20"/>
          <w:szCs w:val="20"/>
          <w:lang w:val="hr-HR"/>
        </w:rPr>
      </w:pP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36"/>
        <w:gridCol w:w="1110"/>
        <w:gridCol w:w="1262"/>
        <w:gridCol w:w="1830"/>
        <w:gridCol w:w="1130"/>
        <w:gridCol w:w="1684"/>
        <w:gridCol w:w="1534"/>
        <w:gridCol w:w="2534"/>
        <w:gridCol w:w="992"/>
      </w:tblGrid>
      <w:tr w:rsidR="006F2783" w:rsidRPr="0086186A" w14:paraId="66D301D0" w14:textId="77777777" w:rsidTr="009F6566">
        <w:trPr>
          <w:cantSplit/>
          <w:trHeight w:val="300"/>
          <w:tblHeader/>
          <w:jc w:val="center"/>
        </w:trPr>
        <w:tc>
          <w:tcPr>
            <w:tcW w:w="2236" w:type="dxa"/>
            <w:vMerge w:val="restart"/>
            <w:shd w:val="clear" w:color="auto" w:fill="auto"/>
            <w:vAlign w:val="center"/>
            <w:hideMark/>
          </w:tcPr>
          <w:p w14:paraId="31A771FF" w14:textId="6A2FCE33" w:rsidR="002E2A74" w:rsidRPr="0086186A" w:rsidRDefault="000A5853" w:rsidP="002E2A74">
            <w:pPr>
              <w:pStyle w:val="SorkznlklCESCI2020"/>
              <w:rPr>
                <w:rFonts w:ascii="Times New Roman" w:hAnsi="Times New Roman"/>
                <w:sz w:val="18"/>
                <w:lang w:val="hr-HR"/>
              </w:rPr>
            </w:pPr>
            <w:r w:rsidRPr="0086186A">
              <w:rPr>
                <w:rFonts w:ascii="Times New Roman" w:hAnsi="Times New Roman"/>
                <w:sz w:val="18"/>
                <w:lang w:val="hr-HR"/>
              </w:rPr>
              <w:t xml:space="preserve">Predloženi posebni ciljevi </w:t>
            </w:r>
            <w:r w:rsidR="002E2A74" w:rsidRPr="0086186A">
              <w:rPr>
                <w:rFonts w:ascii="Times New Roman" w:hAnsi="Times New Roman"/>
                <w:sz w:val="18"/>
                <w:lang w:val="hr-HR"/>
              </w:rPr>
              <w:t>→</w:t>
            </w:r>
          </w:p>
          <w:p w14:paraId="582B3453" w14:textId="7FCD23EA" w:rsidR="006F2783" w:rsidRPr="0086186A" w:rsidRDefault="002E2A74" w:rsidP="002E2A74">
            <w:pPr>
              <w:pStyle w:val="SorkznlklCESCI2020"/>
              <w:rPr>
                <w:rFonts w:asciiTheme="majorBidi" w:hAnsiTheme="majorBidi" w:cstheme="majorBidi"/>
                <w:b/>
                <w:bCs/>
                <w:sz w:val="18"/>
                <w:szCs w:val="18"/>
                <w:lang w:val="hr-HR"/>
              </w:rPr>
            </w:pPr>
            <w:r w:rsidRPr="0086186A">
              <w:rPr>
                <w:rFonts w:ascii="Times New Roman" w:hAnsi="Times New Roman"/>
                <w:sz w:val="18"/>
                <w:lang w:val="hr-HR"/>
              </w:rPr>
              <w:t>Hrvatski operativni programi ↓</w:t>
            </w:r>
          </w:p>
        </w:tc>
        <w:tc>
          <w:tcPr>
            <w:tcW w:w="1110" w:type="dxa"/>
            <w:vMerge w:val="restart"/>
          </w:tcPr>
          <w:p w14:paraId="0C834107" w14:textId="02A826B2" w:rsidR="006F2783" w:rsidRPr="0086186A" w:rsidRDefault="002B3701" w:rsidP="002B3701">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Općenita primjenjivost za korisnike u pograničnom području</w:t>
            </w:r>
          </w:p>
        </w:tc>
        <w:tc>
          <w:tcPr>
            <w:tcW w:w="1262" w:type="dxa"/>
            <w:vMerge w:val="restart"/>
          </w:tcPr>
          <w:p w14:paraId="22625A19" w14:textId="020FEAF9" w:rsidR="006F2783" w:rsidRPr="0086186A" w:rsidRDefault="002B3701" w:rsidP="006F2783">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Proračun u razdoblju od 2021. do 2027.</w:t>
            </w:r>
            <w:r w:rsidR="006F2783" w:rsidRPr="0086186A">
              <w:rPr>
                <w:rFonts w:asciiTheme="majorBidi" w:hAnsiTheme="majorBidi" w:cstheme="majorBidi"/>
                <w:sz w:val="18"/>
                <w:szCs w:val="18"/>
                <w:lang w:val="hr-HR"/>
              </w:rPr>
              <w:t xml:space="preserve"> (€)</w:t>
            </w:r>
          </w:p>
        </w:tc>
        <w:tc>
          <w:tcPr>
            <w:tcW w:w="1830" w:type="dxa"/>
            <w:tcBorders>
              <w:bottom w:val="nil"/>
            </w:tcBorders>
            <w:shd w:val="clear" w:color="auto" w:fill="auto"/>
            <w:vAlign w:val="center"/>
            <w:hideMark/>
          </w:tcPr>
          <w:p w14:paraId="32273F88" w14:textId="24A01204" w:rsidR="006F2783" w:rsidRPr="0086186A" w:rsidRDefault="006F2783" w:rsidP="006F2783">
            <w:pPr>
              <w:pStyle w:val="SorkznlklCESCI2020"/>
              <w:jc w:val="center"/>
              <w:rPr>
                <w:rFonts w:asciiTheme="majorBidi" w:hAnsiTheme="majorBidi" w:cstheme="majorBidi"/>
                <w:sz w:val="18"/>
                <w:szCs w:val="18"/>
                <w:lang w:val="hr-HR"/>
              </w:rPr>
            </w:pPr>
            <w:r w:rsidRPr="0086186A">
              <w:rPr>
                <w:rFonts w:asciiTheme="majorBidi" w:hAnsiTheme="majorBidi" w:cstheme="majorBidi"/>
                <w:b/>
                <w:bCs/>
                <w:sz w:val="18"/>
                <w:szCs w:val="18"/>
                <w:lang w:val="hr-HR"/>
              </w:rPr>
              <w:t>PO1 – SO …</w:t>
            </w:r>
          </w:p>
        </w:tc>
        <w:tc>
          <w:tcPr>
            <w:tcW w:w="1130" w:type="dxa"/>
            <w:tcBorders>
              <w:bottom w:val="nil"/>
            </w:tcBorders>
            <w:vAlign w:val="center"/>
          </w:tcPr>
          <w:p w14:paraId="26BD2511" w14:textId="4A80BDDE" w:rsidR="006F2783" w:rsidRPr="0086186A" w:rsidRDefault="006F2783" w:rsidP="006F2783">
            <w:pPr>
              <w:pStyle w:val="SorkznlklCESCI2020"/>
              <w:jc w:val="center"/>
              <w:rPr>
                <w:rFonts w:asciiTheme="majorBidi" w:hAnsiTheme="majorBidi" w:cstheme="majorBidi"/>
                <w:b/>
                <w:bCs/>
                <w:sz w:val="18"/>
                <w:szCs w:val="18"/>
                <w:lang w:val="hr-HR"/>
              </w:rPr>
            </w:pPr>
            <w:r w:rsidRPr="0086186A">
              <w:rPr>
                <w:rFonts w:asciiTheme="majorBidi" w:hAnsiTheme="majorBidi" w:cstheme="majorBidi"/>
                <w:b/>
                <w:sz w:val="18"/>
                <w:lang w:val="hr-HR"/>
              </w:rPr>
              <w:t>PO2 – SO …</w:t>
            </w:r>
          </w:p>
        </w:tc>
        <w:tc>
          <w:tcPr>
            <w:tcW w:w="1684" w:type="dxa"/>
            <w:tcBorders>
              <w:bottom w:val="nil"/>
            </w:tcBorders>
            <w:shd w:val="clear" w:color="auto" w:fill="auto"/>
            <w:vAlign w:val="center"/>
            <w:hideMark/>
          </w:tcPr>
          <w:p w14:paraId="4143BCCA" w14:textId="608A5CBC" w:rsidR="006F2783" w:rsidRPr="0086186A" w:rsidRDefault="006F2783" w:rsidP="006F2783">
            <w:pPr>
              <w:pStyle w:val="SorkznlklCESCI2020"/>
              <w:jc w:val="center"/>
              <w:rPr>
                <w:rFonts w:asciiTheme="majorBidi" w:hAnsiTheme="majorBidi" w:cstheme="majorBidi"/>
                <w:b/>
                <w:bCs/>
                <w:sz w:val="18"/>
                <w:szCs w:val="18"/>
                <w:lang w:val="hr-HR"/>
              </w:rPr>
            </w:pPr>
            <w:r w:rsidRPr="0086186A">
              <w:rPr>
                <w:rFonts w:asciiTheme="majorBidi" w:hAnsiTheme="majorBidi" w:cstheme="majorBidi"/>
                <w:b/>
                <w:bCs/>
                <w:sz w:val="18"/>
                <w:szCs w:val="18"/>
                <w:lang w:val="hr-HR"/>
              </w:rPr>
              <w:t>PO2 – SO …</w:t>
            </w:r>
          </w:p>
        </w:tc>
        <w:tc>
          <w:tcPr>
            <w:tcW w:w="1534" w:type="dxa"/>
            <w:tcBorders>
              <w:bottom w:val="nil"/>
            </w:tcBorders>
            <w:shd w:val="clear" w:color="auto" w:fill="auto"/>
            <w:vAlign w:val="center"/>
            <w:hideMark/>
          </w:tcPr>
          <w:p w14:paraId="5EAE7363" w14:textId="2B5681BE" w:rsidR="006F2783" w:rsidRPr="0086186A" w:rsidRDefault="006F2783" w:rsidP="006F2783">
            <w:pPr>
              <w:pStyle w:val="SorkznlklCESCI2020"/>
              <w:jc w:val="center"/>
              <w:rPr>
                <w:rFonts w:asciiTheme="majorBidi" w:hAnsiTheme="majorBidi" w:cstheme="majorBidi"/>
                <w:b/>
                <w:bCs/>
                <w:sz w:val="18"/>
                <w:szCs w:val="18"/>
                <w:lang w:val="hr-HR"/>
              </w:rPr>
            </w:pPr>
            <w:r w:rsidRPr="0086186A">
              <w:rPr>
                <w:rFonts w:asciiTheme="majorBidi" w:hAnsiTheme="majorBidi" w:cstheme="majorBidi"/>
                <w:b/>
                <w:bCs/>
                <w:sz w:val="18"/>
                <w:szCs w:val="18"/>
                <w:lang w:val="hr-HR"/>
              </w:rPr>
              <w:t>PO4 – SO …</w:t>
            </w:r>
          </w:p>
        </w:tc>
        <w:tc>
          <w:tcPr>
            <w:tcW w:w="2534" w:type="dxa"/>
            <w:tcBorders>
              <w:bottom w:val="nil"/>
            </w:tcBorders>
            <w:shd w:val="clear" w:color="auto" w:fill="auto"/>
            <w:vAlign w:val="center"/>
            <w:hideMark/>
          </w:tcPr>
          <w:p w14:paraId="658D8D48" w14:textId="3E290719" w:rsidR="006F2783" w:rsidRPr="0086186A" w:rsidRDefault="006F2783" w:rsidP="006F2783">
            <w:pPr>
              <w:pStyle w:val="SorkznlklCESCI2020"/>
              <w:jc w:val="center"/>
              <w:rPr>
                <w:rFonts w:asciiTheme="majorBidi" w:hAnsiTheme="majorBidi" w:cstheme="majorBidi"/>
                <w:b/>
                <w:bCs/>
                <w:sz w:val="18"/>
                <w:szCs w:val="18"/>
                <w:lang w:val="hr-HR"/>
              </w:rPr>
            </w:pPr>
            <w:r w:rsidRPr="0086186A">
              <w:rPr>
                <w:rFonts w:asciiTheme="majorBidi" w:hAnsiTheme="majorBidi" w:cstheme="majorBidi"/>
                <w:b/>
                <w:bCs/>
                <w:sz w:val="18"/>
                <w:szCs w:val="18"/>
                <w:lang w:val="hr-HR"/>
              </w:rPr>
              <w:t>PO4 – SO …</w:t>
            </w:r>
          </w:p>
        </w:tc>
        <w:tc>
          <w:tcPr>
            <w:tcW w:w="992" w:type="dxa"/>
            <w:tcBorders>
              <w:bottom w:val="nil"/>
            </w:tcBorders>
            <w:shd w:val="clear" w:color="auto" w:fill="auto"/>
            <w:vAlign w:val="center"/>
            <w:hideMark/>
          </w:tcPr>
          <w:p w14:paraId="0271E7B7" w14:textId="34DBCC6E" w:rsidR="006F2783" w:rsidRPr="0086186A" w:rsidRDefault="006F2783" w:rsidP="006F2783">
            <w:pPr>
              <w:pStyle w:val="SorkznlklCESCI2020"/>
              <w:jc w:val="center"/>
              <w:rPr>
                <w:rFonts w:asciiTheme="majorBidi" w:hAnsiTheme="majorBidi" w:cstheme="majorBidi"/>
                <w:b/>
                <w:bCs/>
                <w:sz w:val="18"/>
                <w:szCs w:val="18"/>
                <w:lang w:val="hr-HR"/>
              </w:rPr>
            </w:pPr>
            <w:r w:rsidRPr="0086186A">
              <w:rPr>
                <w:rFonts w:asciiTheme="majorBidi" w:hAnsiTheme="majorBidi" w:cstheme="majorBidi"/>
                <w:b/>
                <w:bCs/>
                <w:sz w:val="18"/>
                <w:szCs w:val="18"/>
                <w:lang w:val="hr-HR"/>
              </w:rPr>
              <w:t>ISO1</w:t>
            </w:r>
          </w:p>
        </w:tc>
      </w:tr>
      <w:tr w:rsidR="002E2A74" w:rsidRPr="0086186A" w14:paraId="0A008183" w14:textId="77777777" w:rsidTr="009F6566">
        <w:trPr>
          <w:trHeight w:val="960"/>
          <w:tblHeader/>
          <w:jc w:val="center"/>
        </w:trPr>
        <w:tc>
          <w:tcPr>
            <w:tcW w:w="2236" w:type="dxa"/>
            <w:vMerge/>
            <w:shd w:val="clear" w:color="auto" w:fill="auto"/>
            <w:vAlign w:val="center"/>
            <w:hideMark/>
          </w:tcPr>
          <w:p w14:paraId="47F97A75" w14:textId="77777777" w:rsidR="002E2A74" w:rsidRPr="0086186A" w:rsidRDefault="002E2A74" w:rsidP="002E2A74">
            <w:pPr>
              <w:pStyle w:val="SorkznlklCESCI2020"/>
              <w:rPr>
                <w:rFonts w:asciiTheme="majorBidi" w:hAnsiTheme="majorBidi" w:cstheme="majorBidi"/>
                <w:b/>
                <w:bCs/>
                <w:sz w:val="18"/>
                <w:szCs w:val="18"/>
                <w:lang w:val="hr-HR"/>
              </w:rPr>
            </w:pPr>
          </w:p>
        </w:tc>
        <w:tc>
          <w:tcPr>
            <w:tcW w:w="1110" w:type="dxa"/>
            <w:vMerge/>
          </w:tcPr>
          <w:p w14:paraId="48DBA894" w14:textId="77777777" w:rsidR="002E2A74" w:rsidRPr="0086186A" w:rsidRDefault="002E2A74" w:rsidP="002E2A74">
            <w:pPr>
              <w:pStyle w:val="TableParagraph"/>
              <w:rPr>
                <w:rFonts w:asciiTheme="majorBidi" w:hAnsiTheme="majorBidi" w:cstheme="majorBidi"/>
                <w:sz w:val="18"/>
                <w:szCs w:val="18"/>
                <w:lang w:val="hr-HR"/>
              </w:rPr>
            </w:pPr>
          </w:p>
        </w:tc>
        <w:tc>
          <w:tcPr>
            <w:tcW w:w="1262" w:type="dxa"/>
            <w:vMerge/>
          </w:tcPr>
          <w:p w14:paraId="2DDF19F2" w14:textId="77777777" w:rsidR="002E2A74" w:rsidRPr="0086186A" w:rsidRDefault="002E2A74" w:rsidP="002E2A74">
            <w:pPr>
              <w:pStyle w:val="SorkznlklCESCI2020"/>
              <w:jc w:val="center"/>
              <w:rPr>
                <w:rFonts w:asciiTheme="majorBidi" w:hAnsiTheme="majorBidi" w:cstheme="majorBidi"/>
                <w:sz w:val="18"/>
                <w:szCs w:val="18"/>
                <w:lang w:val="hr-HR"/>
              </w:rPr>
            </w:pPr>
          </w:p>
        </w:tc>
        <w:tc>
          <w:tcPr>
            <w:tcW w:w="1830" w:type="dxa"/>
            <w:tcBorders>
              <w:top w:val="nil"/>
            </w:tcBorders>
            <w:shd w:val="clear" w:color="auto" w:fill="auto"/>
            <w:hideMark/>
          </w:tcPr>
          <w:p w14:paraId="62F32D22" w14:textId="6293FB98" w:rsidR="002E2A74" w:rsidRPr="0086186A" w:rsidRDefault="002E2A74" w:rsidP="002E2A74">
            <w:pPr>
              <w:pStyle w:val="SorkznlklCESCI2020"/>
              <w:jc w:val="center"/>
              <w:rPr>
                <w:rFonts w:asciiTheme="majorBidi" w:hAnsiTheme="majorBidi" w:cstheme="majorBidi"/>
                <w:sz w:val="18"/>
                <w:szCs w:val="18"/>
                <w:lang w:val="hr-HR"/>
              </w:rPr>
            </w:pPr>
            <w:r w:rsidRPr="0086186A">
              <w:rPr>
                <w:rFonts w:ascii="Times New Roman" w:hAnsi="Times New Roman" w:cs="Times New Roman"/>
                <w:sz w:val="18"/>
                <w:szCs w:val="18"/>
                <w:lang w:val="hr-HR"/>
              </w:rPr>
              <w:t xml:space="preserve">(iii) </w:t>
            </w:r>
            <w:r w:rsidRPr="0086186A">
              <w:rPr>
                <w:rFonts w:ascii="Times New Roman" w:eastAsia="Cambria" w:hAnsi="Times New Roman" w:cs="Times New Roman"/>
                <w:sz w:val="18"/>
                <w:szCs w:val="18"/>
                <w:lang w:val="hr-HR" w:eastAsia="en-US"/>
              </w:rPr>
              <w:t xml:space="preserve">Jačanje održivog rasta i konkurentnosti </w:t>
            </w:r>
            <w:proofErr w:type="spellStart"/>
            <w:r w:rsidRPr="0086186A">
              <w:rPr>
                <w:rFonts w:ascii="Times New Roman" w:eastAsia="Cambria" w:hAnsi="Times New Roman" w:cs="Times New Roman"/>
                <w:sz w:val="18"/>
                <w:szCs w:val="18"/>
                <w:lang w:val="hr-HR" w:eastAsia="en-US"/>
              </w:rPr>
              <w:t>MSP</w:t>
            </w:r>
            <w:proofErr w:type="spellEnd"/>
            <w:r w:rsidRPr="0086186A">
              <w:rPr>
                <w:rFonts w:ascii="Times New Roman" w:eastAsia="Cambria" w:hAnsi="Times New Roman" w:cs="Times New Roman"/>
                <w:sz w:val="18"/>
                <w:szCs w:val="18"/>
                <w:lang w:val="hr-HR" w:eastAsia="en-US"/>
              </w:rPr>
              <w:t xml:space="preserve">-ova i otvaranje radnih mjesta u njima, među ostalim i kroz produktivna ulaganja </w:t>
            </w:r>
          </w:p>
        </w:tc>
        <w:tc>
          <w:tcPr>
            <w:tcW w:w="1130" w:type="dxa"/>
            <w:tcBorders>
              <w:top w:val="nil"/>
            </w:tcBorders>
          </w:tcPr>
          <w:p w14:paraId="2617517D" w14:textId="2D68557C" w:rsidR="002E2A74" w:rsidRPr="0086186A" w:rsidRDefault="002E2A74" w:rsidP="002E2A74">
            <w:pPr>
              <w:pStyle w:val="TableParagraph"/>
              <w:rPr>
                <w:rFonts w:asciiTheme="majorBidi" w:hAnsiTheme="majorBidi" w:cstheme="majorBidi"/>
                <w:sz w:val="18"/>
                <w:szCs w:val="18"/>
                <w:lang w:val="hr-HR"/>
              </w:rPr>
            </w:pPr>
            <w:r w:rsidRPr="0086186A">
              <w:rPr>
                <w:rFonts w:ascii="Times New Roman" w:hAnsi="Times New Roman"/>
                <w:sz w:val="18"/>
                <w:lang w:val="hr-HR"/>
              </w:rPr>
              <w:t>(i) Promicanje mjera energetske učinkovitosti i smanjenje emisija stakleničkih plinova</w:t>
            </w:r>
          </w:p>
        </w:tc>
        <w:tc>
          <w:tcPr>
            <w:tcW w:w="1684" w:type="dxa"/>
            <w:tcBorders>
              <w:top w:val="nil"/>
            </w:tcBorders>
            <w:shd w:val="clear" w:color="auto" w:fill="auto"/>
            <w:hideMark/>
          </w:tcPr>
          <w:p w14:paraId="16A435D0" w14:textId="77777777" w:rsidR="002E2A74" w:rsidRPr="0086186A" w:rsidRDefault="002E2A74" w:rsidP="002E2A74">
            <w:pPr>
              <w:pStyle w:val="TableParagraph"/>
              <w:rPr>
                <w:rFonts w:ascii="Times New Roman" w:hAnsi="Times New Roman" w:cs="Times New Roman"/>
                <w:sz w:val="18"/>
                <w:szCs w:val="18"/>
                <w:lang w:val="hr-HR"/>
              </w:rPr>
            </w:pPr>
            <w:r w:rsidRPr="0086186A">
              <w:rPr>
                <w:rFonts w:ascii="Times New Roman" w:hAnsi="Times New Roman"/>
                <w:sz w:val="18"/>
                <w:lang w:val="hr-HR"/>
              </w:rPr>
              <w:t>(</w:t>
            </w:r>
            <w:r w:rsidRPr="0086186A">
              <w:rPr>
                <w:rFonts w:ascii="Times New Roman" w:hAnsi="Times New Roman" w:cs="Times New Roman"/>
                <w:sz w:val="18"/>
                <w:szCs w:val="18"/>
                <w:lang w:val="hr-HR"/>
              </w:rPr>
              <w:t>iv) Promicanje prilagodbe klimatskim promjenama i sprječavanja rizika od katastrofa te otpornosti, uzimajući u obzir pristupe utemeljene na ekosustavima</w:t>
            </w:r>
          </w:p>
          <w:p w14:paraId="679DDD9B" w14:textId="6AD0BC84" w:rsidR="002E2A74" w:rsidRPr="0086186A" w:rsidRDefault="002E2A74" w:rsidP="002E2A74">
            <w:pPr>
              <w:pStyle w:val="TableParagraph"/>
              <w:rPr>
                <w:rFonts w:asciiTheme="majorBidi" w:hAnsiTheme="majorBidi" w:cstheme="majorBidi"/>
                <w:sz w:val="18"/>
                <w:szCs w:val="18"/>
                <w:lang w:val="hr-HR"/>
              </w:rPr>
            </w:pPr>
          </w:p>
        </w:tc>
        <w:tc>
          <w:tcPr>
            <w:tcW w:w="1534" w:type="dxa"/>
            <w:tcBorders>
              <w:top w:val="nil"/>
            </w:tcBorders>
            <w:shd w:val="clear" w:color="auto" w:fill="auto"/>
            <w:hideMark/>
          </w:tcPr>
          <w:p w14:paraId="34B13625" w14:textId="77777777" w:rsidR="002E2A74" w:rsidRPr="0086186A" w:rsidRDefault="002E2A74" w:rsidP="002E2A74">
            <w:pPr>
              <w:pStyle w:val="TableParagraph"/>
              <w:rPr>
                <w:rFonts w:ascii="Times New Roman" w:hAnsi="Times New Roman"/>
                <w:sz w:val="18"/>
                <w:lang w:val="hr-HR"/>
              </w:rPr>
            </w:pPr>
            <w:r w:rsidRPr="0086186A">
              <w:rPr>
                <w:rFonts w:ascii="Times New Roman" w:hAnsi="Times New Roman"/>
                <w:sz w:val="18"/>
                <w:lang w:val="hr-HR"/>
              </w:rPr>
              <w:t>(vi) Jačanje uloge kulture i održivog turizma u gospodarskom razvoju, socijalnoj uključenosti i socijalnim inovacijama</w:t>
            </w:r>
          </w:p>
          <w:p w14:paraId="2E4B822A" w14:textId="109A5170" w:rsidR="002E2A74" w:rsidRPr="0086186A" w:rsidRDefault="002E2A74" w:rsidP="002E2A74">
            <w:pPr>
              <w:pStyle w:val="TableParagraph"/>
              <w:rPr>
                <w:rFonts w:asciiTheme="majorBidi" w:hAnsiTheme="majorBidi" w:cstheme="majorBidi"/>
                <w:sz w:val="18"/>
                <w:szCs w:val="18"/>
                <w:lang w:val="hr-HR"/>
              </w:rPr>
            </w:pPr>
          </w:p>
        </w:tc>
        <w:tc>
          <w:tcPr>
            <w:tcW w:w="2534" w:type="dxa"/>
            <w:tcBorders>
              <w:top w:val="nil"/>
            </w:tcBorders>
            <w:shd w:val="clear" w:color="auto" w:fill="auto"/>
            <w:hideMark/>
          </w:tcPr>
          <w:p w14:paraId="21CD4C97" w14:textId="0D76EB28" w:rsidR="002E2A74" w:rsidRPr="0086186A" w:rsidRDefault="002E2A74" w:rsidP="002E2A74">
            <w:pPr>
              <w:pStyle w:val="TableParagraph"/>
              <w:rPr>
                <w:rFonts w:asciiTheme="majorBidi" w:hAnsiTheme="majorBidi" w:cstheme="majorBidi"/>
                <w:sz w:val="18"/>
                <w:szCs w:val="18"/>
                <w:lang w:val="hr-HR"/>
              </w:rPr>
            </w:pPr>
            <w:r w:rsidRPr="0086186A">
              <w:rPr>
                <w:rFonts w:ascii="Times New Roman" w:hAnsi="Times New Roman"/>
                <w:sz w:val="18"/>
                <w:lang w:val="hr-HR"/>
              </w:rPr>
              <w:t xml:space="preserve">(ii) Poboljšanje pristupa </w:t>
            </w:r>
            <w:proofErr w:type="spellStart"/>
            <w:r w:rsidRPr="0086186A">
              <w:rPr>
                <w:rFonts w:ascii="Times New Roman" w:hAnsi="Times New Roman"/>
                <w:sz w:val="18"/>
                <w:lang w:val="hr-HR"/>
              </w:rPr>
              <w:t>uključivim</w:t>
            </w:r>
            <w:proofErr w:type="spellEnd"/>
            <w:r w:rsidRPr="0086186A">
              <w:rPr>
                <w:rFonts w:ascii="Times New Roman" w:hAnsi="Times New Roman"/>
                <w:sz w:val="18"/>
                <w:lang w:val="hr-HR"/>
              </w:rPr>
              <w:t xml:space="preserve"> i kvalitetnim uslugama obrazovanja, osposobljavanja i cjeloživotnog učenja razvojem infrastrukture, među ostalim jačanjem otpornosti obrazovanja i osposobljavanja na daljinu i na internetu </w:t>
            </w:r>
          </w:p>
        </w:tc>
        <w:tc>
          <w:tcPr>
            <w:tcW w:w="992" w:type="dxa"/>
            <w:tcBorders>
              <w:top w:val="nil"/>
            </w:tcBorders>
            <w:shd w:val="clear" w:color="auto" w:fill="auto"/>
            <w:hideMark/>
          </w:tcPr>
          <w:p w14:paraId="5C0013B2" w14:textId="6BD9179C" w:rsidR="002E2A74" w:rsidRPr="0086186A" w:rsidRDefault="002E2A74" w:rsidP="002E2A74">
            <w:pPr>
              <w:pStyle w:val="SorkznlklCESCI2020"/>
              <w:jc w:val="center"/>
              <w:rPr>
                <w:rFonts w:asciiTheme="majorBidi" w:hAnsiTheme="majorBidi" w:cstheme="majorBidi"/>
                <w:sz w:val="18"/>
                <w:szCs w:val="18"/>
                <w:lang w:val="hr-HR"/>
              </w:rPr>
            </w:pPr>
            <w:r w:rsidRPr="0086186A">
              <w:rPr>
                <w:rFonts w:ascii="Times New Roman" w:hAnsi="Times New Roman"/>
                <w:sz w:val="18"/>
                <w:lang w:val="hr-HR"/>
              </w:rPr>
              <w:t>Bolje upravljanje suradnjom</w:t>
            </w:r>
          </w:p>
        </w:tc>
      </w:tr>
      <w:tr w:rsidR="006F2783" w:rsidRPr="0086186A" w14:paraId="7CE787E2" w14:textId="77777777" w:rsidTr="009F6566">
        <w:trPr>
          <w:trHeight w:val="20"/>
          <w:jc w:val="center"/>
        </w:trPr>
        <w:tc>
          <w:tcPr>
            <w:tcW w:w="2236" w:type="dxa"/>
            <w:shd w:val="clear" w:color="auto" w:fill="auto"/>
            <w:vAlign w:val="center"/>
          </w:tcPr>
          <w:p w14:paraId="50753D01" w14:textId="59F73F7B" w:rsidR="006F2783" w:rsidRPr="0086186A" w:rsidRDefault="0095675A" w:rsidP="009F6566">
            <w:pPr>
              <w:pStyle w:val="SorkznlklCESCI2020"/>
              <w:rPr>
                <w:rFonts w:asciiTheme="majorBidi" w:hAnsiTheme="majorBidi" w:cstheme="majorBidi"/>
                <w:sz w:val="18"/>
                <w:szCs w:val="18"/>
                <w:lang w:val="hr-HR"/>
              </w:rPr>
            </w:pPr>
            <w:r w:rsidRPr="0086186A">
              <w:rPr>
                <w:rFonts w:asciiTheme="majorBidi" w:hAnsiTheme="majorBidi" w:cstheme="majorBidi"/>
                <w:sz w:val="18"/>
                <w:szCs w:val="18"/>
                <w:lang w:val="hr-HR"/>
              </w:rPr>
              <w:t>Obzor Europa</w:t>
            </w:r>
          </w:p>
        </w:tc>
        <w:tc>
          <w:tcPr>
            <w:tcW w:w="1110" w:type="dxa"/>
            <w:vAlign w:val="center"/>
          </w:tcPr>
          <w:p w14:paraId="3CB234F7"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1262" w:type="dxa"/>
            <w:vAlign w:val="center"/>
          </w:tcPr>
          <w:p w14:paraId="1BA6CD43" w14:textId="22C15128"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eastAsia="Arial Narrow" w:hAnsiTheme="majorBidi" w:cstheme="majorBidi"/>
                <w:lang w:val="hr-HR"/>
              </w:rPr>
              <w:t xml:space="preserve">90,1 </w:t>
            </w:r>
            <w:r w:rsidR="002B3701" w:rsidRPr="0086186A">
              <w:rPr>
                <w:rFonts w:asciiTheme="majorBidi" w:eastAsia="Arial Narrow" w:hAnsiTheme="majorBidi" w:cstheme="majorBidi"/>
                <w:lang w:val="hr-HR"/>
              </w:rPr>
              <w:t>milijarda</w:t>
            </w:r>
          </w:p>
        </w:tc>
        <w:tc>
          <w:tcPr>
            <w:tcW w:w="1830" w:type="dxa"/>
            <w:shd w:val="clear" w:color="auto" w:fill="auto"/>
            <w:vAlign w:val="center"/>
          </w:tcPr>
          <w:p w14:paraId="691D3B89"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1130" w:type="dxa"/>
            <w:vAlign w:val="center"/>
          </w:tcPr>
          <w:p w14:paraId="2181D974"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1684" w:type="dxa"/>
            <w:shd w:val="clear" w:color="auto" w:fill="auto"/>
            <w:vAlign w:val="center"/>
          </w:tcPr>
          <w:p w14:paraId="0D7FF316"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1534" w:type="dxa"/>
            <w:shd w:val="clear" w:color="auto" w:fill="auto"/>
            <w:vAlign w:val="center"/>
          </w:tcPr>
          <w:p w14:paraId="009D5276"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2534" w:type="dxa"/>
            <w:shd w:val="clear" w:color="auto" w:fill="auto"/>
            <w:vAlign w:val="center"/>
          </w:tcPr>
          <w:p w14:paraId="2E712693"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992" w:type="dxa"/>
            <w:shd w:val="clear" w:color="auto" w:fill="auto"/>
            <w:vAlign w:val="center"/>
          </w:tcPr>
          <w:p w14:paraId="45E1A79A" w14:textId="77777777" w:rsidR="006F2783" w:rsidRPr="0086186A" w:rsidRDefault="006F2783" w:rsidP="009F6566">
            <w:pPr>
              <w:pStyle w:val="SorkznlklCESCI2020"/>
              <w:jc w:val="center"/>
              <w:rPr>
                <w:rFonts w:asciiTheme="majorBidi" w:hAnsiTheme="majorBidi" w:cstheme="majorBidi"/>
                <w:sz w:val="18"/>
                <w:szCs w:val="18"/>
                <w:lang w:val="hr-HR"/>
              </w:rPr>
            </w:pPr>
          </w:p>
        </w:tc>
      </w:tr>
      <w:tr w:rsidR="006F2783" w:rsidRPr="0086186A" w14:paraId="2B10BEC1" w14:textId="77777777" w:rsidTr="009F6566">
        <w:trPr>
          <w:trHeight w:val="20"/>
          <w:jc w:val="center"/>
        </w:trPr>
        <w:tc>
          <w:tcPr>
            <w:tcW w:w="2236" w:type="dxa"/>
            <w:shd w:val="clear" w:color="auto" w:fill="auto"/>
            <w:vAlign w:val="center"/>
          </w:tcPr>
          <w:p w14:paraId="5954F5D1" w14:textId="12DFD503" w:rsidR="006F2783" w:rsidRPr="0086186A" w:rsidRDefault="0095675A" w:rsidP="009F6566">
            <w:pPr>
              <w:pStyle w:val="SorkznlklCESCI2020"/>
              <w:rPr>
                <w:rFonts w:asciiTheme="majorBidi" w:hAnsiTheme="majorBidi" w:cstheme="majorBidi"/>
                <w:sz w:val="18"/>
                <w:szCs w:val="18"/>
                <w:lang w:val="hr-HR"/>
              </w:rPr>
            </w:pPr>
            <w:r w:rsidRPr="0086186A">
              <w:rPr>
                <w:rFonts w:asciiTheme="majorBidi" w:hAnsiTheme="majorBidi" w:cstheme="majorBidi"/>
                <w:sz w:val="18"/>
                <w:szCs w:val="18"/>
                <w:lang w:val="hr-HR"/>
              </w:rPr>
              <w:t>Instrument za povezivanje Europe</w:t>
            </w:r>
            <w:r w:rsidR="006F2783" w:rsidRPr="0086186A">
              <w:rPr>
                <w:rFonts w:asciiTheme="majorBidi" w:hAnsiTheme="majorBidi" w:cstheme="majorBidi"/>
                <w:sz w:val="18"/>
                <w:szCs w:val="18"/>
                <w:lang w:val="hr-HR"/>
              </w:rPr>
              <w:t xml:space="preserve"> </w:t>
            </w:r>
          </w:p>
        </w:tc>
        <w:tc>
          <w:tcPr>
            <w:tcW w:w="1110" w:type="dxa"/>
            <w:vAlign w:val="center"/>
          </w:tcPr>
          <w:p w14:paraId="2B673190"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1262" w:type="dxa"/>
            <w:vAlign w:val="center"/>
          </w:tcPr>
          <w:p w14:paraId="30E52499" w14:textId="320EFEC5"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eastAsia="Arial Narrow" w:hAnsiTheme="majorBidi" w:cstheme="majorBidi"/>
                <w:lang w:val="hr-HR"/>
              </w:rPr>
              <w:t xml:space="preserve">28,4 </w:t>
            </w:r>
            <w:r w:rsidR="002B3701" w:rsidRPr="0086186A">
              <w:rPr>
                <w:rFonts w:asciiTheme="majorBidi" w:eastAsia="Arial Narrow" w:hAnsiTheme="majorBidi" w:cstheme="majorBidi"/>
                <w:lang w:val="hr-HR"/>
              </w:rPr>
              <w:t>milijarde</w:t>
            </w:r>
          </w:p>
        </w:tc>
        <w:tc>
          <w:tcPr>
            <w:tcW w:w="1830" w:type="dxa"/>
            <w:shd w:val="clear" w:color="auto" w:fill="auto"/>
            <w:vAlign w:val="center"/>
          </w:tcPr>
          <w:p w14:paraId="61B9DFC4" w14:textId="77777777" w:rsidR="006F2783" w:rsidRPr="0086186A" w:rsidRDefault="006F2783" w:rsidP="009F6566">
            <w:pPr>
              <w:pStyle w:val="SorkznlklCESCI2020"/>
              <w:jc w:val="center"/>
              <w:rPr>
                <w:rFonts w:asciiTheme="majorBidi" w:hAnsiTheme="majorBidi" w:cstheme="majorBidi"/>
                <w:sz w:val="18"/>
                <w:szCs w:val="18"/>
                <w:lang w:val="hr-HR"/>
              </w:rPr>
            </w:pPr>
          </w:p>
        </w:tc>
        <w:tc>
          <w:tcPr>
            <w:tcW w:w="1130" w:type="dxa"/>
            <w:vAlign w:val="center"/>
          </w:tcPr>
          <w:p w14:paraId="32CA4868"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1684" w:type="dxa"/>
            <w:shd w:val="clear" w:color="auto" w:fill="auto"/>
            <w:vAlign w:val="center"/>
          </w:tcPr>
          <w:p w14:paraId="15488E55"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1534" w:type="dxa"/>
            <w:shd w:val="clear" w:color="auto" w:fill="auto"/>
            <w:vAlign w:val="center"/>
          </w:tcPr>
          <w:p w14:paraId="1B891079" w14:textId="77777777" w:rsidR="006F2783" w:rsidRPr="0086186A" w:rsidRDefault="006F2783" w:rsidP="009F6566">
            <w:pPr>
              <w:pStyle w:val="SorkznlklCESCI2020"/>
              <w:jc w:val="center"/>
              <w:rPr>
                <w:rFonts w:asciiTheme="majorBidi" w:hAnsiTheme="majorBidi" w:cstheme="majorBidi"/>
                <w:sz w:val="18"/>
                <w:szCs w:val="18"/>
                <w:lang w:val="hr-HR"/>
              </w:rPr>
            </w:pPr>
          </w:p>
        </w:tc>
        <w:tc>
          <w:tcPr>
            <w:tcW w:w="2534" w:type="dxa"/>
            <w:shd w:val="clear" w:color="auto" w:fill="auto"/>
            <w:vAlign w:val="center"/>
          </w:tcPr>
          <w:p w14:paraId="7449B145" w14:textId="77777777" w:rsidR="006F2783" w:rsidRPr="0086186A" w:rsidRDefault="006F2783" w:rsidP="009F6566">
            <w:pPr>
              <w:pStyle w:val="SorkznlklCESCI2020"/>
              <w:jc w:val="center"/>
              <w:rPr>
                <w:rFonts w:asciiTheme="majorBidi" w:hAnsiTheme="majorBidi" w:cstheme="majorBidi"/>
                <w:sz w:val="18"/>
                <w:szCs w:val="18"/>
                <w:lang w:val="hr-HR"/>
              </w:rPr>
            </w:pPr>
          </w:p>
        </w:tc>
        <w:tc>
          <w:tcPr>
            <w:tcW w:w="992" w:type="dxa"/>
            <w:shd w:val="clear" w:color="auto" w:fill="auto"/>
            <w:vAlign w:val="center"/>
          </w:tcPr>
          <w:p w14:paraId="4A229090" w14:textId="77777777" w:rsidR="006F2783" w:rsidRPr="0086186A" w:rsidRDefault="006F2783" w:rsidP="009F6566">
            <w:pPr>
              <w:pStyle w:val="SorkznlklCESCI2020"/>
              <w:jc w:val="center"/>
              <w:rPr>
                <w:rFonts w:asciiTheme="majorBidi" w:hAnsiTheme="majorBidi" w:cstheme="majorBidi"/>
                <w:sz w:val="18"/>
                <w:szCs w:val="18"/>
                <w:lang w:val="hr-HR"/>
              </w:rPr>
            </w:pPr>
          </w:p>
        </w:tc>
      </w:tr>
      <w:tr w:rsidR="006F2783" w:rsidRPr="0086186A" w14:paraId="700F6615" w14:textId="77777777" w:rsidTr="009F6566">
        <w:trPr>
          <w:trHeight w:val="20"/>
          <w:jc w:val="center"/>
        </w:trPr>
        <w:tc>
          <w:tcPr>
            <w:tcW w:w="2236" w:type="dxa"/>
            <w:shd w:val="clear" w:color="auto" w:fill="auto"/>
            <w:vAlign w:val="center"/>
          </w:tcPr>
          <w:p w14:paraId="3C72AECE" w14:textId="77777777" w:rsidR="006F2783" w:rsidRPr="0086186A" w:rsidRDefault="006F2783" w:rsidP="009F6566">
            <w:pPr>
              <w:pStyle w:val="SorkznlklCESCI2020"/>
              <w:rPr>
                <w:rFonts w:asciiTheme="majorBidi" w:hAnsiTheme="majorBidi" w:cstheme="majorBidi"/>
                <w:sz w:val="18"/>
                <w:szCs w:val="18"/>
                <w:lang w:val="hr-HR"/>
              </w:rPr>
            </w:pPr>
            <w:proofErr w:type="spellStart"/>
            <w:r w:rsidRPr="0086186A">
              <w:rPr>
                <w:rFonts w:asciiTheme="majorBidi" w:hAnsiTheme="majorBidi" w:cstheme="majorBidi"/>
                <w:sz w:val="18"/>
                <w:szCs w:val="18"/>
                <w:lang w:val="hr-HR"/>
              </w:rPr>
              <w:t>InvestEU</w:t>
            </w:r>
            <w:proofErr w:type="spellEnd"/>
          </w:p>
        </w:tc>
        <w:tc>
          <w:tcPr>
            <w:tcW w:w="1110" w:type="dxa"/>
            <w:vAlign w:val="center"/>
          </w:tcPr>
          <w:p w14:paraId="16A8F3A0"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1262" w:type="dxa"/>
            <w:vAlign w:val="center"/>
          </w:tcPr>
          <w:p w14:paraId="6A96EBFB" w14:textId="73699E98"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eastAsia="Arial Narrow" w:hAnsiTheme="majorBidi" w:cstheme="majorBidi"/>
                <w:lang w:val="hr-HR"/>
              </w:rPr>
              <w:t xml:space="preserve">26,2 </w:t>
            </w:r>
            <w:r w:rsidR="002B3701" w:rsidRPr="0086186A">
              <w:rPr>
                <w:rFonts w:asciiTheme="majorBidi" w:eastAsia="Arial Narrow" w:hAnsiTheme="majorBidi" w:cstheme="majorBidi"/>
                <w:lang w:val="hr-HR"/>
              </w:rPr>
              <w:t>milijarde</w:t>
            </w:r>
          </w:p>
        </w:tc>
        <w:tc>
          <w:tcPr>
            <w:tcW w:w="1830" w:type="dxa"/>
            <w:shd w:val="clear" w:color="auto" w:fill="auto"/>
            <w:vAlign w:val="center"/>
          </w:tcPr>
          <w:p w14:paraId="3AE7F87E"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1130" w:type="dxa"/>
            <w:vAlign w:val="center"/>
          </w:tcPr>
          <w:p w14:paraId="7034BA5C"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1684" w:type="dxa"/>
            <w:shd w:val="clear" w:color="auto" w:fill="auto"/>
            <w:vAlign w:val="center"/>
          </w:tcPr>
          <w:p w14:paraId="31DE4B4A"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1534" w:type="dxa"/>
            <w:shd w:val="clear" w:color="auto" w:fill="auto"/>
            <w:vAlign w:val="center"/>
          </w:tcPr>
          <w:p w14:paraId="37FB3711" w14:textId="77777777" w:rsidR="006F2783" w:rsidRPr="0086186A" w:rsidRDefault="006F2783" w:rsidP="009F6566">
            <w:pPr>
              <w:pStyle w:val="SorkznlklCESCI2020"/>
              <w:jc w:val="center"/>
              <w:rPr>
                <w:rFonts w:asciiTheme="majorBidi" w:hAnsiTheme="majorBidi" w:cstheme="majorBidi"/>
                <w:sz w:val="18"/>
                <w:szCs w:val="18"/>
                <w:lang w:val="hr-HR"/>
              </w:rPr>
            </w:pPr>
          </w:p>
        </w:tc>
        <w:tc>
          <w:tcPr>
            <w:tcW w:w="2534" w:type="dxa"/>
            <w:shd w:val="clear" w:color="auto" w:fill="auto"/>
            <w:vAlign w:val="center"/>
          </w:tcPr>
          <w:p w14:paraId="3B7C5135" w14:textId="77777777" w:rsidR="006F2783" w:rsidRPr="0086186A" w:rsidRDefault="006F2783" w:rsidP="009F6566">
            <w:pPr>
              <w:pStyle w:val="SorkznlklCESCI2020"/>
              <w:jc w:val="center"/>
              <w:rPr>
                <w:rFonts w:asciiTheme="majorBidi" w:hAnsiTheme="majorBidi" w:cstheme="majorBidi"/>
                <w:sz w:val="18"/>
                <w:szCs w:val="18"/>
                <w:lang w:val="hr-HR"/>
              </w:rPr>
            </w:pPr>
          </w:p>
        </w:tc>
        <w:tc>
          <w:tcPr>
            <w:tcW w:w="992" w:type="dxa"/>
            <w:shd w:val="clear" w:color="auto" w:fill="auto"/>
            <w:vAlign w:val="center"/>
          </w:tcPr>
          <w:p w14:paraId="2B44236A" w14:textId="77777777" w:rsidR="006F2783" w:rsidRPr="0086186A" w:rsidRDefault="006F2783" w:rsidP="009F6566">
            <w:pPr>
              <w:pStyle w:val="SorkznlklCESCI2020"/>
              <w:jc w:val="center"/>
              <w:rPr>
                <w:rFonts w:asciiTheme="majorBidi" w:hAnsiTheme="majorBidi" w:cstheme="majorBidi"/>
                <w:sz w:val="18"/>
                <w:szCs w:val="18"/>
                <w:lang w:val="hr-HR"/>
              </w:rPr>
            </w:pPr>
          </w:p>
        </w:tc>
      </w:tr>
      <w:tr w:rsidR="006F2783" w:rsidRPr="0086186A" w14:paraId="172B7134" w14:textId="77777777" w:rsidTr="009F6566">
        <w:trPr>
          <w:trHeight w:val="20"/>
          <w:jc w:val="center"/>
        </w:trPr>
        <w:tc>
          <w:tcPr>
            <w:tcW w:w="2236" w:type="dxa"/>
            <w:shd w:val="clear" w:color="auto" w:fill="auto"/>
            <w:vAlign w:val="center"/>
          </w:tcPr>
          <w:p w14:paraId="19CC25E6" w14:textId="02DE6F40" w:rsidR="006F2783" w:rsidRPr="0086186A" w:rsidRDefault="006F2783" w:rsidP="009F6566">
            <w:pPr>
              <w:pStyle w:val="SorkznlklCESCI2020"/>
              <w:rPr>
                <w:rFonts w:asciiTheme="majorBidi" w:hAnsiTheme="majorBidi" w:cstheme="majorBidi"/>
                <w:sz w:val="18"/>
                <w:szCs w:val="18"/>
                <w:lang w:val="hr-HR"/>
              </w:rPr>
            </w:pPr>
            <w:r w:rsidRPr="0086186A">
              <w:rPr>
                <w:rFonts w:asciiTheme="majorBidi" w:hAnsiTheme="majorBidi" w:cstheme="majorBidi"/>
                <w:sz w:val="18"/>
                <w:szCs w:val="18"/>
                <w:lang w:val="hr-HR"/>
              </w:rPr>
              <w:t>Digital</w:t>
            </w:r>
            <w:r w:rsidR="0095675A" w:rsidRPr="0086186A">
              <w:rPr>
                <w:rFonts w:asciiTheme="majorBidi" w:hAnsiTheme="majorBidi" w:cstheme="majorBidi"/>
                <w:sz w:val="18"/>
                <w:szCs w:val="18"/>
                <w:lang w:val="hr-HR"/>
              </w:rPr>
              <w:t>na</w:t>
            </w:r>
            <w:r w:rsidRPr="0086186A">
              <w:rPr>
                <w:rFonts w:asciiTheme="majorBidi" w:hAnsiTheme="majorBidi" w:cstheme="majorBidi"/>
                <w:sz w:val="18"/>
                <w:szCs w:val="18"/>
                <w:lang w:val="hr-HR"/>
              </w:rPr>
              <w:t xml:space="preserve"> Europ</w:t>
            </w:r>
            <w:r w:rsidR="0095675A" w:rsidRPr="0086186A">
              <w:rPr>
                <w:rFonts w:asciiTheme="majorBidi" w:hAnsiTheme="majorBidi" w:cstheme="majorBidi"/>
                <w:sz w:val="18"/>
                <w:szCs w:val="18"/>
                <w:lang w:val="hr-HR"/>
              </w:rPr>
              <w:t>a</w:t>
            </w:r>
          </w:p>
        </w:tc>
        <w:tc>
          <w:tcPr>
            <w:tcW w:w="1110" w:type="dxa"/>
            <w:vAlign w:val="center"/>
          </w:tcPr>
          <w:p w14:paraId="47D69C2E"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1262" w:type="dxa"/>
            <w:vAlign w:val="center"/>
          </w:tcPr>
          <w:p w14:paraId="0F327053" w14:textId="72B3A331"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eastAsia="Arial Narrow" w:hAnsiTheme="majorBidi" w:cstheme="majorBidi"/>
                <w:lang w:val="hr-HR"/>
              </w:rPr>
              <w:t xml:space="preserve">7,5 </w:t>
            </w:r>
            <w:r w:rsidR="002B3701" w:rsidRPr="0086186A">
              <w:rPr>
                <w:rFonts w:asciiTheme="majorBidi" w:eastAsia="Arial Narrow" w:hAnsiTheme="majorBidi" w:cstheme="majorBidi"/>
                <w:lang w:val="hr-HR"/>
              </w:rPr>
              <w:t>milijardi</w:t>
            </w:r>
          </w:p>
        </w:tc>
        <w:tc>
          <w:tcPr>
            <w:tcW w:w="1830" w:type="dxa"/>
            <w:shd w:val="clear" w:color="auto" w:fill="auto"/>
            <w:vAlign w:val="center"/>
          </w:tcPr>
          <w:p w14:paraId="1D0BCAF0"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1130" w:type="dxa"/>
            <w:vAlign w:val="center"/>
          </w:tcPr>
          <w:p w14:paraId="68752829" w14:textId="77777777" w:rsidR="006F2783" w:rsidRPr="0086186A" w:rsidRDefault="006F2783" w:rsidP="009F6566">
            <w:pPr>
              <w:pStyle w:val="SorkznlklCESCI2020"/>
              <w:jc w:val="center"/>
              <w:rPr>
                <w:rFonts w:asciiTheme="majorBidi" w:hAnsiTheme="majorBidi" w:cstheme="majorBidi"/>
                <w:sz w:val="18"/>
                <w:szCs w:val="18"/>
                <w:lang w:val="hr-HR"/>
              </w:rPr>
            </w:pPr>
          </w:p>
        </w:tc>
        <w:tc>
          <w:tcPr>
            <w:tcW w:w="1684" w:type="dxa"/>
            <w:shd w:val="clear" w:color="auto" w:fill="auto"/>
            <w:vAlign w:val="center"/>
          </w:tcPr>
          <w:p w14:paraId="719297F7" w14:textId="77777777" w:rsidR="006F2783" w:rsidRPr="0086186A" w:rsidRDefault="006F2783" w:rsidP="009F6566">
            <w:pPr>
              <w:pStyle w:val="SorkznlklCESCI2020"/>
              <w:jc w:val="center"/>
              <w:rPr>
                <w:rFonts w:asciiTheme="majorBidi" w:hAnsiTheme="majorBidi" w:cstheme="majorBidi"/>
                <w:sz w:val="18"/>
                <w:szCs w:val="18"/>
                <w:lang w:val="hr-HR"/>
              </w:rPr>
            </w:pPr>
          </w:p>
        </w:tc>
        <w:tc>
          <w:tcPr>
            <w:tcW w:w="1534" w:type="dxa"/>
            <w:shd w:val="clear" w:color="auto" w:fill="auto"/>
            <w:vAlign w:val="center"/>
          </w:tcPr>
          <w:p w14:paraId="1FDCCE3A" w14:textId="77777777" w:rsidR="006F2783" w:rsidRPr="0086186A" w:rsidRDefault="006F2783" w:rsidP="009F6566">
            <w:pPr>
              <w:pStyle w:val="SorkznlklCESCI2020"/>
              <w:jc w:val="center"/>
              <w:rPr>
                <w:rFonts w:asciiTheme="majorBidi" w:hAnsiTheme="majorBidi" w:cstheme="majorBidi"/>
                <w:sz w:val="18"/>
                <w:szCs w:val="18"/>
                <w:lang w:val="hr-HR"/>
              </w:rPr>
            </w:pPr>
          </w:p>
        </w:tc>
        <w:tc>
          <w:tcPr>
            <w:tcW w:w="2534" w:type="dxa"/>
            <w:shd w:val="clear" w:color="auto" w:fill="auto"/>
            <w:vAlign w:val="center"/>
          </w:tcPr>
          <w:p w14:paraId="74E04555"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992" w:type="dxa"/>
            <w:shd w:val="clear" w:color="auto" w:fill="auto"/>
            <w:vAlign w:val="center"/>
          </w:tcPr>
          <w:p w14:paraId="5AD0CBE8" w14:textId="77777777" w:rsidR="006F2783" w:rsidRPr="0086186A" w:rsidRDefault="006F2783" w:rsidP="009F6566">
            <w:pPr>
              <w:pStyle w:val="SorkznlklCESCI2020"/>
              <w:jc w:val="center"/>
              <w:rPr>
                <w:rFonts w:asciiTheme="majorBidi" w:hAnsiTheme="majorBidi" w:cstheme="majorBidi"/>
                <w:sz w:val="18"/>
                <w:szCs w:val="18"/>
                <w:lang w:val="hr-HR"/>
              </w:rPr>
            </w:pPr>
          </w:p>
        </w:tc>
      </w:tr>
      <w:tr w:rsidR="006F2783" w:rsidRPr="0086186A" w14:paraId="4F09C41F" w14:textId="77777777" w:rsidTr="009F6566">
        <w:trPr>
          <w:trHeight w:val="20"/>
          <w:jc w:val="center"/>
        </w:trPr>
        <w:tc>
          <w:tcPr>
            <w:tcW w:w="2236" w:type="dxa"/>
            <w:shd w:val="clear" w:color="auto" w:fill="auto"/>
            <w:vAlign w:val="center"/>
          </w:tcPr>
          <w:p w14:paraId="78A29D45" w14:textId="37B598CA" w:rsidR="006F2783" w:rsidRPr="0086186A" w:rsidRDefault="0095675A" w:rsidP="009F6566">
            <w:pPr>
              <w:pStyle w:val="SorkznlklCESCI2020"/>
              <w:rPr>
                <w:rFonts w:asciiTheme="majorBidi" w:hAnsiTheme="majorBidi" w:cstheme="majorBidi"/>
                <w:sz w:val="18"/>
                <w:szCs w:val="18"/>
                <w:lang w:val="hr-HR"/>
              </w:rPr>
            </w:pPr>
            <w:r w:rsidRPr="0086186A">
              <w:rPr>
                <w:rFonts w:asciiTheme="majorBidi" w:hAnsiTheme="majorBidi" w:cstheme="majorBidi"/>
                <w:sz w:val="18"/>
                <w:szCs w:val="18"/>
                <w:lang w:val="hr-HR"/>
              </w:rPr>
              <w:t>Program LIFE</w:t>
            </w:r>
            <w:r w:rsidR="006F2783" w:rsidRPr="0086186A">
              <w:rPr>
                <w:rFonts w:asciiTheme="majorBidi" w:hAnsiTheme="majorBidi" w:cstheme="majorBidi"/>
                <w:sz w:val="18"/>
                <w:szCs w:val="18"/>
                <w:lang w:val="hr-HR"/>
              </w:rPr>
              <w:t xml:space="preserve"> </w:t>
            </w:r>
          </w:p>
        </w:tc>
        <w:tc>
          <w:tcPr>
            <w:tcW w:w="1110" w:type="dxa"/>
            <w:vAlign w:val="center"/>
          </w:tcPr>
          <w:p w14:paraId="117867EA"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1262" w:type="dxa"/>
            <w:vAlign w:val="center"/>
          </w:tcPr>
          <w:p w14:paraId="53373B9F" w14:textId="3F287F01"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eastAsia="Arial Narrow" w:hAnsiTheme="majorBidi" w:cstheme="majorBidi"/>
                <w:lang w:val="hr-HR"/>
              </w:rPr>
              <w:t xml:space="preserve">5,4 </w:t>
            </w:r>
            <w:r w:rsidR="002B3701" w:rsidRPr="0086186A">
              <w:rPr>
                <w:rFonts w:asciiTheme="majorBidi" w:eastAsia="Arial Narrow" w:hAnsiTheme="majorBidi" w:cstheme="majorBidi"/>
                <w:lang w:val="hr-HR"/>
              </w:rPr>
              <w:t>milijarde</w:t>
            </w:r>
          </w:p>
        </w:tc>
        <w:tc>
          <w:tcPr>
            <w:tcW w:w="1830" w:type="dxa"/>
            <w:shd w:val="clear" w:color="auto" w:fill="auto"/>
            <w:vAlign w:val="center"/>
          </w:tcPr>
          <w:p w14:paraId="08F724C6" w14:textId="77777777" w:rsidR="006F2783" w:rsidRPr="0086186A" w:rsidRDefault="006F2783" w:rsidP="009F6566">
            <w:pPr>
              <w:pStyle w:val="SorkznlklCESCI2020"/>
              <w:jc w:val="center"/>
              <w:rPr>
                <w:rFonts w:asciiTheme="majorBidi" w:hAnsiTheme="majorBidi" w:cstheme="majorBidi"/>
                <w:sz w:val="18"/>
                <w:szCs w:val="18"/>
                <w:lang w:val="hr-HR"/>
              </w:rPr>
            </w:pPr>
          </w:p>
        </w:tc>
        <w:tc>
          <w:tcPr>
            <w:tcW w:w="1130" w:type="dxa"/>
            <w:vAlign w:val="center"/>
          </w:tcPr>
          <w:p w14:paraId="0C4A6386"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1684" w:type="dxa"/>
            <w:shd w:val="clear" w:color="auto" w:fill="auto"/>
            <w:vAlign w:val="center"/>
          </w:tcPr>
          <w:p w14:paraId="1CD8C9DF"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1534" w:type="dxa"/>
            <w:shd w:val="clear" w:color="auto" w:fill="auto"/>
            <w:vAlign w:val="center"/>
          </w:tcPr>
          <w:p w14:paraId="43C540B6" w14:textId="77777777" w:rsidR="006F2783" w:rsidRPr="0086186A" w:rsidRDefault="006F2783" w:rsidP="009F6566">
            <w:pPr>
              <w:pStyle w:val="SorkznlklCESCI2020"/>
              <w:jc w:val="center"/>
              <w:rPr>
                <w:rFonts w:asciiTheme="majorBidi" w:hAnsiTheme="majorBidi" w:cstheme="majorBidi"/>
                <w:sz w:val="18"/>
                <w:szCs w:val="18"/>
                <w:lang w:val="hr-HR"/>
              </w:rPr>
            </w:pPr>
          </w:p>
        </w:tc>
        <w:tc>
          <w:tcPr>
            <w:tcW w:w="2534" w:type="dxa"/>
            <w:shd w:val="clear" w:color="auto" w:fill="auto"/>
            <w:vAlign w:val="center"/>
          </w:tcPr>
          <w:p w14:paraId="015051A6" w14:textId="77777777" w:rsidR="006F2783" w:rsidRPr="0086186A" w:rsidRDefault="006F2783" w:rsidP="009F6566">
            <w:pPr>
              <w:pStyle w:val="SorkznlklCESCI2020"/>
              <w:jc w:val="center"/>
              <w:rPr>
                <w:rFonts w:asciiTheme="majorBidi" w:hAnsiTheme="majorBidi" w:cstheme="majorBidi"/>
                <w:sz w:val="18"/>
                <w:szCs w:val="18"/>
                <w:lang w:val="hr-HR"/>
              </w:rPr>
            </w:pPr>
          </w:p>
        </w:tc>
        <w:tc>
          <w:tcPr>
            <w:tcW w:w="992" w:type="dxa"/>
            <w:shd w:val="clear" w:color="auto" w:fill="auto"/>
            <w:vAlign w:val="center"/>
          </w:tcPr>
          <w:p w14:paraId="01590462" w14:textId="77777777" w:rsidR="006F2783" w:rsidRPr="0086186A" w:rsidRDefault="006F2783" w:rsidP="009F6566">
            <w:pPr>
              <w:pStyle w:val="SorkznlklCESCI2020"/>
              <w:jc w:val="center"/>
              <w:rPr>
                <w:rFonts w:asciiTheme="majorBidi" w:hAnsiTheme="majorBidi" w:cstheme="majorBidi"/>
                <w:sz w:val="18"/>
                <w:szCs w:val="18"/>
                <w:lang w:val="hr-HR"/>
              </w:rPr>
            </w:pPr>
          </w:p>
        </w:tc>
      </w:tr>
      <w:tr w:rsidR="006F2783" w:rsidRPr="0086186A" w14:paraId="76078193" w14:textId="77777777" w:rsidTr="009F6566">
        <w:trPr>
          <w:trHeight w:val="20"/>
          <w:jc w:val="center"/>
        </w:trPr>
        <w:tc>
          <w:tcPr>
            <w:tcW w:w="2236" w:type="dxa"/>
            <w:shd w:val="clear" w:color="auto" w:fill="auto"/>
            <w:vAlign w:val="center"/>
          </w:tcPr>
          <w:p w14:paraId="44B5B828" w14:textId="1D9B284F" w:rsidR="006F2783" w:rsidRPr="0086186A" w:rsidRDefault="00A6414C" w:rsidP="009F6566">
            <w:pPr>
              <w:pStyle w:val="SorkznlklCESCI2020"/>
              <w:rPr>
                <w:rFonts w:asciiTheme="majorBidi" w:hAnsiTheme="majorBidi" w:cstheme="majorBidi"/>
                <w:sz w:val="18"/>
                <w:szCs w:val="18"/>
                <w:lang w:val="hr-HR"/>
              </w:rPr>
            </w:pPr>
            <w:r w:rsidRPr="0086186A">
              <w:rPr>
                <w:rFonts w:asciiTheme="majorBidi" w:hAnsiTheme="majorBidi" w:cstheme="majorBidi"/>
                <w:sz w:val="18"/>
                <w:szCs w:val="18"/>
                <w:lang w:val="hr-HR"/>
              </w:rPr>
              <w:t>Kreativna Europa</w:t>
            </w:r>
          </w:p>
        </w:tc>
        <w:tc>
          <w:tcPr>
            <w:tcW w:w="1110" w:type="dxa"/>
            <w:vAlign w:val="center"/>
          </w:tcPr>
          <w:p w14:paraId="0A66AE6D"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1262" w:type="dxa"/>
            <w:vAlign w:val="center"/>
          </w:tcPr>
          <w:p w14:paraId="203E418C" w14:textId="41D49A3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eastAsia="Arial Narrow" w:hAnsiTheme="majorBidi" w:cstheme="majorBidi"/>
                <w:lang w:val="hr-HR"/>
              </w:rPr>
              <w:t xml:space="preserve">2,4 </w:t>
            </w:r>
            <w:r w:rsidR="002B3701" w:rsidRPr="0086186A">
              <w:rPr>
                <w:rFonts w:asciiTheme="majorBidi" w:eastAsia="Arial Narrow" w:hAnsiTheme="majorBidi" w:cstheme="majorBidi"/>
                <w:lang w:val="hr-HR"/>
              </w:rPr>
              <w:t>milijarde</w:t>
            </w:r>
          </w:p>
        </w:tc>
        <w:tc>
          <w:tcPr>
            <w:tcW w:w="1830" w:type="dxa"/>
            <w:shd w:val="clear" w:color="auto" w:fill="auto"/>
            <w:vAlign w:val="center"/>
          </w:tcPr>
          <w:p w14:paraId="0F65694F"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1130" w:type="dxa"/>
            <w:vAlign w:val="center"/>
          </w:tcPr>
          <w:p w14:paraId="4085C02F" w14:textId="77777777" w:rsidR="006F2783" w:rsidRPr="0086186A" w:rsidRDefault="006F2783" w:rsidP="009F6566">
            <w:pPr>
              <w:pStyle w:val="SorkznlklCESCI2020"/>
              <w:jc w:val="center"/>
              <w:rPr>
                <w:rFonts w:asciiTheme="majorBidi" w:hAnsiTheme="majorBidi" w:cstheme="majorBidi"/>
                <w:sz w:val="18"/>
                <w:szCs w:val="18"/>
                <w:lang w:val="hr-HR"/>
              </w:rPr>
            </w:pPr>
          </w:p>
        </w:tc>
        <w:tc>
          <w:tcPr>
            <w:tcW w:w="1684" w:type="dxa"/>
            <w:shd w:val="clear" w:color="auto" w:fill="auto"/>
            <w:vAlign w:val="center"/>
          </w:tcPr>
          <w:p w14:paraId="662AA5A9" w14:textId="77777777" w:rsidR="006F2783" w:rsidRPr="0086186A" w:rsidRDefault="006F2783" w:rsidP="009F6566">
            <w:pPr>
              <w:pStyle w:val="SorkznlklCESCI2020"/>
              <w:jc w:val="center"/>
              <w:rPr>
                <w:rFonts w:asciiTheme="majorBidi" w:hAnsiTheme="majorBidi" w:cstheme="majorBidi"/>
                <w:sz w:val="18"/>
                <w:szCs w:val="18"/>
                <w:lang w:val="hr-HR"/>
              </w:rPr>
            </w:pPr>
          </w:p>
        </w:tc>
        <w:tc>
          <w:tcPr>
            <w:tcW w:w="1534" w:type="dxa"/>
            <w:shd w:val="clear" w:color="auto" w:fill="auto"/>
            <w:vAlign w:val="center"/>
          </w:tcPr>
          <w:p w14:paraId="0D223564"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2534" w:type="dxa"/>
            <w:shd w:val="clear" w:color="auto" w:fill="auto"/>
            <w:vAlign w:val="center"/>
          </w:tcPr>
          <w:p w14:paraId="7466ED81"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992" w:type="dxa"/>
            <w:shd w:val="clear" w:color="auto" w:fill="auto"/>
            <w:vAlign w:val="center"/>
          </w:tcPr>
          <w:p w14:paraId="2BB26633" w14:textId="77777777" w:rsidR="006F2783" w:rsidRPr="0086186A" w:rsidRDefault="006F2783" w:rsidP="009F6566">
            <w:pPr>
              <w:pStyle w:val="SorkznlklCESCI2020"/>
              <w:jc w:val="center"/>
              <w:rPr>
                <w:rFonts w:asciiTheme="majorBidi" w:hAnsiTheme="majorBidi" w:cstheme="majorBidi"/>
                <w:sz w:val="18"/>
                <w:szCs w:val="18"/>
                <w:lang w:val="hr-HR"/>
              </w:rPr>
            </w:pPr>
          </w:p>
        </w:tc>
      </w:tr>
      <w:tr w:rsidR="006F2783" w:rsidRPr="0086186A" w14:paraId="7A3085D4" w14:textId="77777777" w:rsidTr="009F6566">
        <w:trPr>
          <w:trHeight w:val="20"/>
          <w:jc w:val="center"/>
        </w:trPr>
        <w:tc>
          <w:tcPr>
            <w:tcW w:w="2236" w:type="dxa"/>
            <w:shd w:val="clear" w:color="auto" w:fill="auto"/>
            <w:vAlign w:val="center"/>
          </w:tcPr>
          <w:p w14:paraId="1902D672" w14:textId="69AFD479" w:rsidR="006F2783" w:rsidRPr="0086186A" w:rsidRDefault="006F2783" w:rsidP="009F6566">
            <w:pPr>
              <w:pStyle w:val="SorkznlklCESCI2020"/>
              <w:rPr>
                <w:rFonts w:asciiTheme="majorBidi" w:hAnsiTheme="majorBidi" w:cstheme="majorBidi"/>
                <w:sz w:val="18"/>
                <w:szCs w:val="18"/>
                <w:lang w:val="hr-HR"/>
              </w:rPr>
            </w:pPr>
            <w:proofErr w:type="spellStart"/>
            <w:r w:rsidRPr="0086186A">
              <w:rPr>
                <w:rFonts w:asciiTheme="majorBidi" w:hAnsiTheme="majorBidi" w:cstheme="majorBidi"/>
                <w:sz w:val="18"/>
                <w:szCs w:val="18"/>
                <w:lang w:val="hr-HR"/>
              </w:rPr>
              <w:t>CERV</w:t>
            </w:r>
            <w:proofErr w:type="spellEnd"/>
            <w:r w:rsidRPr="0086186A">
              <w:rPr>
                <w:rFonts w:asciiTheme="majorBidi" w:hAnsiTheme="majorBidi" w:cstheme="majorBidi"/>
                <w:sz w:val="18"/>
                <w:szCs w:val="18"/>
                <w:lang w:val="hr-HR"/>
              </w:rPr>
              <w:t xml:space="preserve"> (</w:t>
            </w:r>
            <w:r w:rsidR="00A6414C" w:rsidRPr="0086186A">
              <w:rPr>
                <w:rFonts w:asciiTheme="majorBidi" w:hAnsiTheme="majorBidi" w:cstheme="majorBidi"/>
                <w:sz w:val="18"/>
                <w:szCs w:val="18"/>
                <w:lang w:val="hr-HR"/>
              </w:rPr>
              <w:t>građani, jednakost, prava i vrijednosti</w:t>
            </w:r>
            <w:r w:rsidRPr="0086186A">
              <w:rPr>
                <w:rFonts w:asciiTheme="majorBidi" w:hAnsiTheme="majorBidi" w:cstheme="majorBidi"/>
                <w:sz w:val="18"/>
                <w:szCs w:val="18"/>
                <w:lang w:val="hr-HR"/>
              </w:rPr>
              <w:t>)</w:t>
            </w:r>
          </w:p>
        </w:tc>
        <w:tc>
          <w:tcPr>
            <w:tcW w:w="1110" w:type="dxa"/>
            <w:vAlign w:val="center"/>
          </w:tcPr>
          <w:p w14:paraId="1CE99893"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1262" w:type="dxa"/>
            <w:vAlign w:val="center"/>
          </w:tcPr>
          <w:p w14:paraId="488F0BFB" w14:textId="64B9B322"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eastAsia="Arial Narrow" w:hAnsiTheme="majorBidi" w:cstheme="majorBidi"/>
                <w:lang w:val="hr-HR"/>
              </w:rPr>
              <w:t xml:space="preserve">1,6 </w:t>
            </w:r>
            <w:r w:rsidR="002B3701" w:rsidRPr="0086186A">
              <w:rPr>
                <w:rFonts w:asciiTheme="majorBidi" w:eastAsia="Arial Narrow" w:hAnsiTheme="majorBidi" w:cstheme="majorBidi"/>
                <w:lang w:val="hr-HR"/>
              </w:rPr>
              <w:t>mili</w:t>
            </w:r>
            <w:r w:rsidR="000C138C">
              <w:rPr>
                <w:rFonts w:asciiTheme="majorBidi" w:eastAsia="Arial Narrow" w:hAnsiTheme="majorBidi" w:cstheme="majorBidi"/>
                <w:lang w:val="hr-HR"/>
              </w:rPr>
              <w:t>j</w:t>
            </w:r>
            <w:r w:rsidR="002B3701" w:rsidRPr="0086186A">
              <w:rPr>
                <w:rFonts w:asciiTheme="majorBidi" w:eastAsia="Arial Narrow" w:hAnsiTheme="majorBidi" w:cstheme="majorBidi"/>
                <w:lang w:val="hr-HR"/>
              </w:rPr>
              <w:t>ardi</w:t>
            </w:r>
          </w:p>
        </w:tc>
        <w:tc>
          <w:tcPr>
            <w:tcW w:w="1830" w:type="dxa"/>
            <w:shd w:val="clear" w:color="auto" w:fill="auto"/>
            <w:vAlign w:val="center"/>
          </w:tcPr>
          <w:p w14:paraId="32CB6816" w14:textId="77777777" w:rsidR="006F2783" w:rsidRPr="0086186A" w:rsidRDefault="006F2783" w:rsidP="009F6566">
            <w:pPr>
              <w:pStyle w:val="SorkznlklCESCI2020"/>
              <w:jc w:val="center"/>
              <w:rPr>
                <w:rFonts w:asciiTheme="majorBidi" w:hAnsiTheme="majorBidi" w:cstheme="majorBidi"/>
                <w:sz w:val="18"/>
                <w:szCs w:val="18"/>
                <w:lang w:val="hr-HR"/>
              </w:rPr>
            </w:pPr>
          </w:p>
        </w:tc>
        <w:tc>
          <w:tcPr>
            <w:tcW w:w="1130" w:type="dxa"/>
            <w:vAlign w:val="center"/>
          </w:tcPr>
          <w:p w14:paraId="4064EDE8" w14:textId="77777777" w:rsidR="006F2783" w:rsidRPr="0086186A" w:rsidRDefault="006F2783" w:rsidP="009F6566">
            <w:pPr>
              <w:pStyle w:val="SorkznlklCESCI2020"/>
              <w:jc w:val="center"/>
              <w:rPr>
                <w:rFonts w:asciiTheme="majorBidi" w:hAnsiTheme="majorBidi" w:cstheme="majorBidi"/>
                <w:sz w:val="18"/>
                <w:szCs w:val="18"/>
                <w:lang w:val="hr-HR"/>
              </w:rPr>
            </w:pPr>
          </w:p>
        </w:tc>
        <w:tc>
          <w:tcPr>
            <w:tcW w:w="1684" w:type="dxa"/>
            <w:shd w:val="clear" w:color="auto" w:fill="auto"/>
            <w:vAlign w:val="center"/>
          </w:tcPr>
          <w:p w14:paraId="7B07B5EB" w14:textId="77777777" w:rsidR="006F2783" w:rsidRPr="0086186A" w:rsidRDefault="006F2783" w:rsidP="009F6566">
            <w:pPr>
              <w:pStyle w:val="SorkznlklCESCI2020"/>
              <w:jc w:val="center"/>
              <w:rPr>
                <w:rFonts w:asciiTheme="majorBidi" w:hAnsiTheme="majorBidi" w:cstheme="majorBidi"/>
                <w:sz w:val="18"/>
                <w:szCs w:val="18"/>
                <w:lang w:val="hr-HR"/>
              </w:rPr>
            </w:pPr>
          </w:p>
        </w:tc>
        <w:tc>
          <w:tcPr>
            <w:tcW w:w="1534" w:type="dxa"/>
            <w:shd w:val="clear" w:color="auto" w:fill="auto"/>
            <w:vAlign w:val="center"/>
          </w:tcPr>
          <w:p w14:paraId="71DAF400" w14:textId="77777777" w:rsidR="006F2783" w:rsidRPr="0086186A" w:rsidRDefault="006F2783" w:rsidP="009F6566">
            <w:pPr>
              <w:pStyle w:val="SorkznlklCESCI2020"/>
              <w:jc w:val="center"/>
              <w:rPr>
                <w:rFonts w:asciiTheme="majorBidi" w:hAnsiTheme="majorBidi" w:cstheme="majorBidi"/>
                <w:sz w:val="18"/>
                <w:szCs w:val="18"/>
                <w:lang w:val="hr-HR"/>
              </w:rPr>
            </w:pPr>
          </w:p>
        </w:tc>
        <w:tc>
          <w:tcPr>
            <w:tcW w:w="2534" w:type="dxa"/>
            <w:shd w:val="clear" w:color="auto" w:fill="auto"/>
            <w:vAlign w:val="center"/>
          </w:tcPr>
          <w:p w14:paraId="77CF991C"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992" w:type="dxa"/>
            <w:shd w:val="clear" w:color="auto" w:fill="auto"/>
            <w:vAlign w:val="center"/>
          </w:tcPr>
          <w:p w14:paraId="7231C3C6"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r>
      <w:tr w:rsidR="006F2783" w:rsidRPr="0086186A" w14:paraId="70A39046" w14:textId="77777777" w:rsidTr="009F6566">
        <w:trPr>
          <w:trHeight w:val="20"/>
          <w:jc w:val="center"/>
        </w:trPr>
        <w:tc>
          <w:tcPr>
            <w:tcW w:w="2236" w:type="dxa"/>
            <w:shd w:val="clear" w:color="auto" w:fill="auto"/>
            <w:vAlign w:val="center"/>
          </w:tcPr>
          <w:p w14:paraId="328AFC72" w14:textId="4EBE5AB2" w:rsidR="006F2783" w:rsidRPr="0086186A" w:rsidRDefault="002B3701" w:rsidP="009F6566">
            <w:pPr>
              <w:pStyle w:val="SorkznlklCESCI2020"/>
              <w:rPr>
                <w:rFonts w:asciiTheme="majorBidi" w:hAnsiTheme="majorBidi" w:cstheme="majorBidi"/>
                <w:sz w:val="18"/>
                <w:szCs w:val="18"/>
                <w:lang w:val="hr-HR"/>
              </w:rPr>
            </w:pPr>
            <w:r w:rsidRPr="0086186A">
              <w:rPr>
                <w:rFonts w:asciiTheme="majorBidi" w:hAnsiTheme="majorBidi" w:cstheme="majorBidi"/>
                <w:sz w:val="18"/>
                <w:szCs w:val="18"/>
                <w:lang w:val="hr-HR"/>
              </w:rPr>
              <w:t>Europska urbana inicijativa</w:t>
            </w:r>
            <w:r w:rsidR="006F2783" w:rsidRPr="0086186A">
              <w:rPr>
                <w:rFonts w:asciiTheme="majorBidi" w:hAnsiTheme="majorBidi" w:cstheme="majorBidi"/>
                <w:sz w:val="18"/>
                <w:szCs w:val="18"/>
                <w:lang w:val="hr-HR"/>
              </w:rPr>
              <w:t xml:space="preserve"> </w:t>
            </w:r>
          </w:p>
        </w:tc>
        <w:tc>
          <w:tcPr>
            <w:tcW w:w="1110" w:type="dxa"/>
            <w:vAlign w:val="center"/>
          </w:tcPr>
          <w:p w14:paraId="19036095"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1262" w:type="dxa"/>
            <w:vAlign w:val="center"/>
          </w:tcPr>
          <w:p w14:paraId="319CEC54" w14:textId="7EFFFE44"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eastAsia="Arial Narrow" w:hAnsiTheme="majorBidi" w:cstheme="majorBidi"/>
                <w:lang w:val="hr-HR"/>
              </w:rPr>
              <w:t xml:space="preserve">400 </w:t>
            </w:r>
            <w:r w:rsidR="002B3701" w:rsidRPr="0086186A">
              <w:rPr>
                <w:rFonts w:asciiTheme="majorBidi" w:eastAsia="Arial Narrow" w:hAnsiTheme="majorBidi" w:cstheme="majorBidi"/>
                <w:lang w:val="hr-HR"/>
              </w:rPr>
              <w:t>milijuna</w:t>
            </w:r>
          </w:p>
        </w:tc>
        <w:tc>
          <w:tcPr>
            <w:tcW w:w="1830" w:type="dxa"/>
            <w:shd w:val="clear" w:color="auto" w:fill="auto"/>
            <w:vAlign w:val="center"/>
          </w:tcPr>
          <w:p w14:paraId="6C230ED5"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1130" w:type="dxa"/>
            <w:vAlign w:val="center"/>
          </w:tcPr>
          <w:p w14:paraId="17FCE3B0" w14:textId="77777777" w:rsidR="006F2783" w:rsidRPr="0086186A" w:rsidRDefault="006F2783" w:rsidP="009F6566">
            <w:pPr>
              <w:pStyle w:val="SorkznlklCESCI2020"/>
              <w:jc w:val="center"/>
              <w:rPr>
                <w:rFonts w:asciiTheme="majorBidi" w:hAnsiTheme="majorBidi" w:cstheme="majorBidi"/>
                <w:sz w:val="18"/>
                <w:szCs w:val="18"/>
                <w:lang w:val="hr-HR"/>
              </w:rPr>
            </w:pPr>
          </w:p>
        </w:tc>
        <w:tc>
          <w:tcPr>
            <w:tcW w:w="1684" w:type="dxa"/>
            <w:shd w:val="clear" w:color="auto" w:fill="auto"/>
            <w:vAlign w:val="center"/>
          </w:tcPr>
          <w:p w14:paraId="5BB79667"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1534" w:type="dxa"/>
            <w:shd w:val="clear" w:color="auto" w:fill="auto"/>
            <w:vAlign w:val="center"/>
          </w:tcPr>
          <w:p w14:paraId="2D11C17D"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2534" w:type="dxa"/>
            <w:shd w:val="clear" w:color="auto" w:fill="auto"/>
            <w:vAlign w:val="center"/>
          </w:tcPr>
          <w:p w14:paraId="1D38AA9C"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992" w:type="dxa"/>
            <w:shd w:val="clear" w:color="auto" w:fill="auto"/>
            <w:vAlign w:val="center"/>
          </w:tcPr>
          <w:p w14:paraId="21F5E01E"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r>
      <w:tr w:rsidR="006F2783" w:rsidRPr="0086186A" w14:paraId="43CA6382" w14:textId="77777777" w:rsidTr="009F6566">
        <w:trPr>
          <w:trHeight w:val="20"/>
          <w:jc w:val="center"/>
        </w:trPr>
        <w:tc>
          <w:tcPr>
            <w:tcW w:w="2236" w:type="dxa"/>
            <w:shd w:val="clear" w:color="auto" w:fill="auto"/>
            <w:vAlign w:val="center"/>
          </w:tcPr>
          <w:p w14:paraId="4DE2C22B" w14:textId="77777777" w:rsidR="006F2783" w:rsidRPr="0086186A" w:rsidRDefault="006F2783" w:rsidP="009F6566">
            <w:pPr>
              <w:pStyle w:val="SorkznlklCESCI2020"/>
              <w:rPr>
                <w:rFonts w:asciiTheme="majorBidi" w:hAnsiTheme="majorBidi" w:cstheme="majorBidi"/>
                <w:sz w:val="18"/>
                <w:szCs w:val="18"/>
                <w:lang w:val="hr-HR"/>
              </w:rPr>
            </w:pPr>
            <w:proofErr w:type="spellStart"/>
            <w:r w:rsidRPr="0086186A">
              <w:rPr>
                <w:rFonts w:asciiTheme="majorBidi" w:hAnsiTheme="majorBidi" w:cstheme="majorBidi"/>
                <w:sz w:val="18"/>
                <w:szCs w:val="18"/>
                <w:lang w:val="hr-HR"/>
              </w:rPr>
              <w:t>URBACT</w:t>
            </w:r>
            <w:proofErr w:type="spellEnd"/>
            <w:r w:rsidRPr="0086186A">
              <w:rPr>
                <w:rFonts w:asciiTheme="majorBidi" w:hAnsiTheme="majorBidi" w:cstheme="majorBidi"/>
                <w:sz w:val="18"/>
                <w:szCs w:val="18"/>
                <w:lang w:val="hr-HR"/>
              </w:rPr>
              <w:t xml:space="preserve"> IV.</w:t>
            </w:r>
          </w:p>
        </w:tc>
        <w:tc>
          <w:tcPr>
            <w:tcW w:w="1110" w:type="dxa"/>
            <w:vAlign w:val="center"/>
          </w:tcPr>
          <w:p w14:paraId="0F3FC577"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1262" w:type="dxa"/>
            <w:vAlign w:val="center"/>
          </w:tcPr>
          <w:p w14:paraId="1C87118B" w14:textId="0C064EC2" w:rsidR="006F2783" w:rsidRPr="0086186A" w:rsidRDefault="002B3701" w:rsidP="009F6566">
            <w:pPr>
              <w:pStyle w:val="SorkznlklCESCI2020"/>
              <w:jc w:val="center"/>
              <w:rPr>
                <w:rFonts w:asciiTheme="majorBidi" w:hAnsiTheme="majorBidi" w:cstheme="majorBidi"/>
                <w:sz w:val="18"/>
                <w:szCs w:val="18"/>
                <w:lang w:val="hr-HR"/>
              </w:rPr>
            </w:pPr>
            <w:r w:rsidRPr="0086186A">
              <w:rPr>
                <w:rFonts w:asciiTheme="majorBidi" w:eastAsia="Arial Narrow" w:hAnsiTheme="majorBidi" w:cstheme="majorBidi"/>
                <w:lang w:val="hr-HR"/>
              </w:rPr>
              <w:t>Nije dostupno</w:t>
            </w:r>
          </w:p>
        </w:tc>
        <w:tc>
          <w:tcPr>
            <w:tcW w:w="1830" w:type="dxa"/>
            <w:shd w:val="clear" w:color="auto" w:fill="auto"/>
            <w:vAlign w:val="center"/>
          </w:tcPr>
          <w:p w14:paraId="04B8B487" w14:textId="77777777" w:rsidR="006F2783" w:rsidRPr="0086186A" w:rsidRDefault="006F2783" w:rsidP="009F6566">
            <w:pPr>
              <w:pStyle w:val="SorkznlklCESCI2020"/>
              <w:jc w:val="center"/>
              <w:rPr>
                <w:rFonts w:asciiTheme="majorBidi" w:hAnsiTheme="majorBidi" w:cstheme="majorBidi"/>
                <w:sz w:val="18"/>
                <w:szCs w:val="18"/>
                <w:lang w:val="hr-HR"/>
              </w:rPr>
            </w:pPr>
          </w:p>
        </w:tc>
        <w:tc>
          <w:tcPr>
            <w:tcW w:w="1130" w:type="dxa"/>
            <w:vAlign w:val="center"/>
          </w:tcPr>
          <w:p w14:paraId="3CF246E8" w14:textId="77777777" w:rsidR="006F2783" w:rsidRPr="0086186A" w:rsidRDefault="006F2783" w:rsidP="009F6566">
            <w:pPr>
              <w:pStyle w:val="SorkznlklCESCI2020"/>
              <w:jc w:val="center"/>
              <w:rPr>
                <w:rFonts w:asciiTheme="majorBidi" w:hAnsiTheme="majorBidi" w:cstheme="majorBidi"/>
                <w:sz w:val="18"/>
                <w:szCs w:val="18"/>
                <w:lang w:val="hr-HR"/>
              </w:rPr>
            </w:pPr>
          </w:p>
        </w:tc>
        <w:tc>
          <w:tcPr>
            <w:tcW w:w="1684" w:type="dxa"/>
            <w:shd w:val="clear" w:color="auto" w:fill="auto"/>
            <w:vAlign w:val="center"/>
          </w:tcPr>
          <w:p w14:paraId="3596FE09"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1534" w:type="dxa"/>
            <w:shd w:val="clear" w:color="auto" w:fill="auto"/>
            <w:vAlign w:val="center"/>
          </w:tcPr>
          <w:p w14:paraId="7C9C6B3E"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2534" w:type="dxa"/>
            <w:shd w:val="clear" w:color="auto" w:fill="auto"/>
            <w:vAlign w:val="center"/>
          </w:tcPr>
          <w:p w14:paraId="17CB30C6"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992" w:type="dxa"/>
            <w:shd w:val="clear" w:color="auto" w:fill="auto"/>
            <w:vAlign w:val="center"/>
          </w:tcPr>
          <w:p w14:paraId="691ACA29"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r>
      <w:tr w:rsidR="006F2783" w:rsidRPr="0086186A" w14:paraId="4924208B" w14:textId="77777777" w:rsidTr="009F6566">
        <w:trPr>
          <w:trHeight w:val="20"/>
          <w:jc w:val="center"/>
        </w:trPr>
        <w:tc>
          <w:tcPr>
            <w:tcW w:w="2236" w:type="dxa"/>
            <w:shd w:val="clear" w:color="auto" w:fill="auto"/>
            <w:vAlign w:val="center"/>
          </w:tcPr>
          <w:p w14:paraId="4658392F" w14:textId="619C081F" w:rsidR="006F2783" w:rsidRPr="0086186A" w:rsidRDefault="002B3701" w:rsidP="009F6566">
            <w:pPr>
              <w:pStyle w:val="SorkznlklCESCI2020"/>
              <w:rPr>
                <w:rFonts w:asciiTheme="majorBidi" w:hAnsiTheme="majorBidi" w:cstheme="majorBidi"/>
                <w:sz w:val="18"/>
                <w:szCs w:val="18"/>
                <w:lang w:val="hr-HR"/>
              </w:rPr>
            </w:pPr>
            <w:r w:rsidRPr="0086186A">
              <w:rPr>
                <w:rFonts w:asciiTheme="majorBidi" w:hAnsiTheme="majorBidi" w:cstheme="majorBidi"/>
                <w:sz w:val="18"/>
                <w:szCs w:val="18"/>
                <w:lang w:val="hr-HR"/>
              </w:rPr>
              <w:t>Europski fond za energetsku učinkovitost</w:t>
            </w:r>
            <w:r w:rsidR="006F2783" w:rsidRPr="0086186A">
              <w:rPr>
                <w:rFonts w:asciiTheme="majorBidi" w:hAnsiTheme="majorBidi" w:cstheme="majorBidi"/>
                <w:sz w:val="18"/>
                <w:szCs w:val="18"/>
                <w:lang w:val="hr-HR"/>
              </w:rPr>
              <w:t xml:space="preserve"> </w:t>
            </w:r>
          </w:p>
        </w:tc>
        <w:tc>
          <w:tcPr>
            <w:tcW w:w="1110" w:type="dxa"/>
            <w:vAlign w:val="center"/>
          </w:tcPr>
          <w:p w14:paraId="41969A70"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1262" w:type="dxa"/>
            <w:vAlign w:val="center"/>
          </w:tcPr>
          <w:p w14:paraId="49AF96C6" w14:textId="27579DD5" w:rsidR="006F2783" w:rsidRPr="0086186A" w:rsidRDefault="002B3701" w:rsidP="009F6566">
            <w:pPr>
              <w:pStyle w:val="SorkznlklCESCI2020"/>
              <w:jc w:val="center"/>
              <w:rPr>
                <w:rFonts w:asciiTheme="majorBidi" w:hAnsiTheme="majorBidi" w:cstheme="majorBidi"/>
                <w:sz w:val="18"/>
                <w:szCs w:val="18"/>
                <w:lang w:val="hr-HR"/>
              </w:rPr>
            </w:pPr>
            <w:r w:rsidRPr="0086186A">
              <w:rPr>
                <w:rFonts w:asciiTheme="majorBidi" w:eastAsia="Arial Narrow" w:hAnsiTheme="majorBidi" w:cstheme="majorBidi"/>
                <w:lang w:val="hr-HR"/>
              </w:rPr>
              <w:t>Nije dostupno</w:t>
            </w:r>
          </w:p>
        </w:tc>
        <w:tc>
          <w:tcPr>
            <w:tcW w:w="1830" w:type="dxa"/>
            <w:shd w:val="clear" w:color="auto" w:fill="auto"/>
            <w:vAlign w:val="center"/>
          </w:tcPr>
          <w:p w14:paraId="70380CD5" w14:textId="77777777" w:rsidR="006F2783" w:rsidRPr="0086186A" w:rsidRDefault="006F2783" w:rsidP="009F6566">
            <w:pPr>
              <w:pStyle w:val="SorkznlklCESCI2020"/>
              <w:jc w:val="center"/>
              <w:rPr>
                <w:rFonts w:asciiTheme="majorBidi" w:hAnsiTheme="majorBidi" w:cstheme="majorBidi"/>
                <w:sz w:val="18"/>
                <w:szCs w:val="18"/>
                <w:lang w:val="hr-HR"/>
              </w:rPr>
            </w:pPr>
          </w:p>
        </w:tc>
        <w:tc>
          <w:tcPr>
            <w:tcW w:w="1130" w:type="dxa"/>
            <w:vAlign w:val="center"/>
          </w:tcPr>
          <w:p w14:paraId="31513E97"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1684" w:type="dxa"/>
            <w:shd w:val="clear" w:color="auto" w:fill="auto"/>
            <w:vAlign w:val="center"/>
          </w:tcPr>
          <w:p w14:paraId="14DB0066"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1534" w:type="dxa"/>
            <w:shd w:val="clear" w:color="auto" w:fill="auto"/>
            <w:vAlign w:val="center"/>
          </w:tcPr>
          <w:p w14:paraId="30AAFEDB" w14:textId="77777777" w:rsidR="006F2783" w:rsidRPr="0086186A" w:rsidRDefault="006F2783" w:rsidP="009F6566">
            <w:pPr>
              <w:pStyle w:val="SorkznlklCESCI2020"/>
              <w:jc w:val="center"/>
              <w:rPr>
                <w:rFonts w:asciiTheme="majorBidi" w:hAnsiTheme="majorBidi" w:cstheme="majorBidi"/>
                <w:sz w:val="18"/>
                <w:szCs w:val="18"/>
                <w:lang w:val="hr-HR"/>
              </w:rPr>
            </w:pPr>
          </w:p>
        </w:tc>
        <w:tc>
          <w:tcPr>
            <w:tcW w:w="2534" w:type="dxa"/>
            <w:shd w:val="clear" w:color="auto" w:fill="auto"/>
            <w:vAlign w:val="center"/>
          </w:tcPr>
          <w:p w14:paraId="2AFFDB12" w14:textId="77777777" w:rsidR="006F2783" w:rsidRPr="0086186A" w:rsidRDefault="006F2783" w:rsidP="009F6566">
            <w:pPr>
              <w:pStyle w:val="SorkznlklCESCI2020"/>
              <w:jc w:val="center"/>
              <w:rPr>
                <w:rFonts w:asciiTheme="majorBidi" w:hAnsiTheme="majorBidi" w:cstheme="majorBidi"/>
                <w:sz w:val="18"/>
                <w:szCs w:val="18"/>
                <w:lang w:val="hr-HR"/>
              </w:rPr>
            </w:pPr>
          </w:p>
        </w:tc>
        <w:tc>
          <w:tcPr>
            <w:tcW w:w="992" w:type="dxa"/>
            <w:shd w:val="clear" w:color="auto" w:fill="auto"/>
            <w:vAlign w:val="center"/>
          </w:tcPr>
          <w:p w14:paraId="34840E44" w14:textId="77777777" w:rsidR="006F2783" w:rsidRPr="0086186A" w:rsidRDefault="006F2783" w:rsidP="009F6566">
            <w:pPr>
              <w:pStyle w:val="SorkznlklCESCI2020"/>
              <w:jc w:val="center"/>
              <w:rPr>
                <w:rFonts w:asciiTheme="majorBidi" w:hAnsiTheme="majorBidi" w:cstheme="majorBidi"/>
                <w:sz w:val="18"/>
                <w:szCs w:val="18"/>
                <w:lang w:val="hr-HR"/>
              </w:rPr>
            </w:pPr>
          </w:p>
        </w:tc>
      </w:tr>
      <w:tr w:rsidR="006F2783" w:rsidRPr="0086186A" w14:paraId="56E094D9" w14:textId="77777777" w:rsidTr="009F6566">
        <w:trPr>
          <w:trHeight w:val="20"/>
          <w:jc w:val="center"/>
        </w:trPr>
        <w:tc>
          <w:tcPr>
            <w:tcW w:w="2236" w:type="dxa"/>
            <w:shd w:val="clear" w:color="auto" w:fill="auto"/>
          </w:tcPr>
          <w:p w14:paraId="0A01462C" w14:textId="5ABDD36E" w:rsidR="006F2783" w:rsidRPr="0086186A" w:rsidRDefault="006F2783" w:rsidP="009F6566">
            <w:pPr>
              <w:pStyle w:val="SorkznlklCESCI2020"/>
              <w:rPr>
                <w:rFonts w:asciiTheme="majorBidi" w:hAnsiTheme="majorBidi" w:cstheme="majorBidi"/>
                <w:sz w:val="18"/>
                <w:szCs w:val="18"/>
                <w:lang w:val="hr-HR"/>
              </w:rPr>
            </w:pPr>
            <w:proofErr w:type="spellStart"/>
            <w:r w:rsidRPr="0086186A">
              <w:rPr>
                <w:rFonts w:asciiTheme="majorBidi" w:hAnsiTheme="majorBidi" w:cstheme="majorBidi"/>
                <w:sz w:val="18"/>
                <w:szCs w:val="18"/>
                <w:lang w:val="hr-HR"/>
              </w:rPr>
              <w:t>Interreg</w:t>
            </w:r>
            <w:proofErr w:type="spellEnd"/>
            <w:r w:rsidRPr="0086186A">
              <w:rPr>
                <w:rFonts w:asciiTheme="majorBidi" w:hAnsiTheme="majorBidi" w:cstheme="majorBidi"/>
                <w:sz w:val="18"/>
                <w:szCs w:val="18"/>
                <w:lang w:val="hr-HR"/>
              </w:rPr>
              <w:t xml:space="preserve"> Europ</w:t>
            </w:r>
            <w:r w:rsidR="002B3701" w:rsidRPr="0086186A">
              <w:rPr>
                <w:rFonts w:asciiTheme="majorBidi" w:hAnsiTheme="majorBidi" w:cstheme="majorBidi"/>
                <w:sz w:val="18"/>
                <w:szCs w:val="18"/>
                <w:lang w:val="hr-HR"/>
              </w:rPr>
              <w:t>a</w:t>
            </w:r>
          </w:p>
        </w:tc>
        <w:tc>
          <w:tcPr>
            <w:tcW w:w="1110" w:type="dxa"/>
            <w:vAlign w:val="center"/>
          </w:tcPr>
          <w:p w14:paraId="6DEDB902"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1262" w:type="dxa"/>
            <w:vAlign w:val="center"/>
          </w:tcPr>
          <w:p w14:paraId="53DF7650" w14:textId="1E3FA7D1" w:rsidR="006F2783" w:rsidRPr="0086186A" w:rsidRDefault="006F2783" w:rsidP="009F6566">
            <w:pPr>
              <w:pStyle w:val="Default"/>
              <w:jc w:val="center"/>
              <w:rPr>
                <w:rFonts w:asciiTheme="majorBidi" w:hAnsiTheme="majorBidi" w:cstheme="majorBidi"/>
                <w:sz w:val="18"/>
                <w:szCs w:val="18"/>
                <w:lang w:val="hr-HR"/>
              </w:rPr>
            </w:pPr>
            <w:r w:rsidRPr="0086186A">
              <w:rPr>
                <w:rFonts w:asciiTheme="majorBidi" w:hAnsiTheme="majorBidi" w:cstheme="majorBidi"/>
                <w:sz w:val="18"/>
                <w:szCs w:val="18"/>
                <w:lang w:val="hr-HR"/>
              </w:rPr>
              <w:t xml:space="preserve">379 </w:t>
            </w:r>
            <w:r w:rsidR="002B3701" w:rsidRPr="0086186A">
              <w:rPr>
                <w:rFonts w:asciiTheme="majorBidi" w:hAnsiTheme="majorBidi" w:cstheme="majorBidi"/>
                <w:sz w:val="18"/>
                <w:szCs w:val="18"/>
                <w:lang w:val="hr-HR"/>
              </w:rPr>
              <w:t>milijuna</w:t>
            </w:r>
          </w:p>
        </w:tc>
        <w:tc>
          <w:tcPr>
            <w:tcW w:w="1830" w:type="dxa"/>
            <w:shd w:val="clear" w:color="auto" w:fill="auto"/>
            <w:vAlign w:val="center"/>
          </w:tcPr>
          <w:p w14:paraId="3ECACD2E"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1130" w:type="dxa"/>
            <w:vAlign w:val="center"/>
          </w:tcPr>
          <w:p w14:paraId="052E29B1"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1684" w:type="dxa"/>
            <w:shd w:val="clear" w:color="auto" w:fill="auto"/>
            <w:vAlign w:val="center"/>
          </w:tcPr>
          <w:p w14:paraId="570225D2"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1534" w:type="dxa"/>
            <w:shd w:val="clear" w:color="auto" w:fill="auto"/>
            <w:vAlign w:val="center"/>
          </w:tcPr>
          <w:p w14:paraId="0871BDD0"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2534" w:type="dxa"/>
            <w:shd w:val="clear" w:color="auto" w:fill="auto"/>
            <w:vAlign w:val="center"/>
          </w:tcPr>
          <w:p w14:paraId="0E8B83D8"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992" w:type="dxa"/>
            <w:shd w:val="clear" w:color="auto" w:fill="auto"/>
            <w:vAlign w:val="center"/>
          </w:tcPr>
          <w:p w14:paraId="194DC08D"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r>
      <w:tr w:rsidR="006F2783" w:rsidRPr="0086186A" w14:paraId="731F7F55" w14:textId="77777777" w:rsidTr="009F6566">
        <w:trPr>
          <w:trHeight w:val="20"/>
          <w:jc w:val="center"/>
        </w:trPr>
        <w:tc>
          <w:tcPr>
            <w:tcW w:w="2236" w:type="dxa"/>
            <w:shd w:val="clear" w:color="auto" w:fill="auto"/>
          </w:tcPr>
          <w:p w14:paraId="00BB2872" w14:textId="61E1598D" w:rsidR="006F2783" w:rsidRPr="0086186A" w:rsidRDefault="002B3701" w:rsidP="009F6566">
            <w:pPr>
              <w:pStyle w:val="SorkznlklCESCI2020"/>
              <w:rPr>
                <w:rFonts w:asciiTheme="majorBidi" w:hAnsiTheme="majorBidi" w:cstheme="majorBidi"/>
                <w:sz w:val="18"/>
                <w:szCs w:val="18"/>
                <w:lang w:val="hr-HR"/>
              </w:rPr>
            </w:pPr>
            <w:r w:rsidRPr="0086186A">
              <w:rPr>
                <w:rFonts w:asciiTheme="majorBidi" w:hAnsiTheme="majorBidi" w:cstheme="majorBidi"/>
                <w:sz w:val="18"/>
                <w:szCs w:val="18"/>
                <w:lang w:val="hr-HR"/>
              </w:rPr>
              <w:t xml:space="preserve">Program </w:t>
            </w:r>
            <w:proofErr w:type="spellStart"/>
            <w:r w:rsidRPr="0086186A">
              <w:rPr>
                <w:rFonts w:asciiTheme="majorBidi" w:hAnsiTheme="majorBidi" w:cstheme="majorBidi"/>
                <w:sz w:val="18"/>
                <w:szCs w:val="18"/>
                <w:lang w:val="hr-HR"/>
              </w:rPr>
              <w:t>Interreg</w:t>
            </w:r>
            <w:proofErr w:type="spellEnd"/>
            <w:r w:rsidRPr="0086186A">
              <w:rPr>
                <w:rFonts w:asciiTheme="majorBidi" w:hAnsiTheme="majorBidi" w:cstheme="majorBidi"/>
                <w:sz w:val="18"/>
                <w:szCs w:val="18"/>
                <w:lang w:val="hr-HR"/>
              </w:rPr>
              <w:t xml:space="preserve"> Središnja Europa</w:t>
            </w:r>
          </w:p>
        </w:tc>
        <w:tc>
          <w:tcPr>
            <w:tcW w:w="1110" w:type="dxa"/>
            <w:vAlign w:val="center"/>
          </w:tcPr>
          <w:p w14:paraId="270B4833"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1262" w:type="dxa"/>
            <w:vAlign w:val="center"/>
          </w:tcPr>
          <w:p w14:paraId="76DD9B80" w14:textId="1B054203"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 xml:space="preserve">281 </w:t>
            </w:r>
            <w:r w:rsidR="002B3701" w:rsidRPr="0086186A">
              <w:rPr>
                <w:rFonts w:asciiTheme="majorBidi" w:hAnsiTheme="majorBidi" w:cstheme="majorBidi"/>
                <w:sz w:val="18"/>
                <w:szCs w:val="18"/>
                <w:lang w:val="hr-HR"/>
              </w:rPr>
              <w:t>milijun</w:t>
            </w:r>
          </w:p>
        </w:tc>
        <w:tc>
          <w:tcPr>
            <w:tcW w:w="1830" w:type="dxa"/>
            <w:shd w:val="clear" w:color="auto" w:fill="auto"/>
            <w:vAlign w:val="center"/>
          </w:tcPr>
          <w:p w14:paraId="2EA37413"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1130" w:type="dxa"/>
            <w:vAlign w:val="center"/>
          </w:tcPr>
          <w:p w14:paraId="4FA8D4CB"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1684" w:type="dxa"/>
            <w:shd w:val="clear" w:color="auto" w:fill="auto"/>
            <w:vAlign w:val="center"/>
          </w:tcPr>
          <w:p w14:paraId="1AF84C0F"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1534" w:type="dxa"/>
            <w:shd w:val="clear" w:color="auto" w:fill="auto"/>
            <w:vAlign w:val="center"/>
          </w:tcPr>
          <w:p w14:paraId="428AACE5"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2534" w:type="dxa"/>
            <w:shd w:val="clear" w:color="auto" w:fill="auto"/>
            <w:vAlign w:val="center"/>
          </w:tcPr>
          <w:p w14:paraId="5D17B80A"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992" w:type="dxa"/>
            <w:shd w:val="clear" w:color="auto" w:fill="auto"/>
            <w:vAlign w:val="center"/>
          </w:tcPr>
          <w:p w14:paraId="71FC3238"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r>
      <w:tr w:rsidR="006F2783" w:rsidRPr="0086186A" w14:paraId="42ABD7AE" w14:textId="77777777" w:rsidTr="009F6566">
        <w:trPr>
          <w:trHeight w:val="20"/>
          <w:jc w:val="center"/>
        </w:trPr>
        <w:tc>
          <w:tcPr>
            <w:tcW w:w="2236" w:type="dxa"/>
            <w:shd w:val="clear" w:color="auto" w:fill="auto"/>
          </w:tcPr>
          <w:p w14:paraId="1A64DCC9" w14:textId="272471D4" w:rsidR="006F2783" w:rsidRPr="0086186A" w:rsidRDefault="002B3701" w:rsidP="009F6566">
            <w:pPr>
              <w:pStyle w:val="SorkznlklCESCI2020"/>
              <w:rPr>
                <w:rFonts w:asciiTheme="majorBidi" w:hAnsiTheme="majorBidi" w:cstheme="majorBidi"/>
                <w:sz w:val="18"/>
                <w:szCs w:val="18"/>
                <w:lang w:val="hr-HR"/>
              </w:rPr>
            </w:pPr>
            <w:r w:rsidRPr="0086186A">
              <w:rPr>
                <w:rFonts w:asciiTheme="majorBidi" w:hAnsiTheme="majorBidi" w:cstheme="majorBidi"/>
                <w:sz w:val="18"/>
                <w:szCs w:val="18"/>
                <w:lang w:val="hr-HR"/>
              </w:rPr>
              <w:t>Dunavski transnacionalni program</w:t>
            </w:r>
          </w:p>
        </w:tc>
        <w:tc>
          <w:tcPr>
            <w:tcW w:w="1110" w:type="dxa"/>
            <w:vAlign w:val="center"/>
          </w:tcPr>
          <w:p w14:paraId="2A76DD11"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1262" w:type="dxa"/>
            <w:vAlign w:val="center"/>
          </w:tcPr>
          <w:p w14:paraId="2D0BAB0C" w14:textId="48FD32C3"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 xml:space="preserve">213 </w:t>
            </w:r>
            <w:r w:rsidR="002B3701" w:rsidRPr="0086186A">
              <w:rPr>
                <w:rFonts w:asciiTheme="majorBidi" w:hAnsiTheme="majorBidi" w:cstheme="majorBidi"/>
                <w:sz w:val="18"/>
                <w:szCs w:val="18"/>
                <w:lang w:val="hr-HR"/>
              </w:rPr>
              <w:t>milijuna</w:t>
            </w:r>
          </w:p>
        </w:tc>
        <w:tc>
          <w:tcPr>
            <w:tcW w:w="1830" w:type="dxa"/>
            <w:shd w:val="clear" w:color="auto" w:fill="auto"/>
            <w:vAlign w:val="center"/>
          </w:tcPr>
          <w:p w14:paraId="33ADA4FB" w14:textId="77777777" w:rsidR="006F2783" w:rsidRPr="0086186A" w:rsidRDefault="006F2783" w:rsidP="009F6566">
            <w:pPr>
              <w:pStyle w:val="SorkznlklCESCI2020"/>
              <w:jc w:val="center"/>
              <w:rPr>
                <w:rFonts w:asciiTheme="majorBidi" w:hAnsiTheme="majorBidi" w:cstheme="majorBidi"/>
                <w:sz w:val="18"/>
                <w:szCs w:val="18"/>
                <w:lang w:val="hr-HR"/>
              </w:rPr>
            </w:pPr>
          </w:p>
        </w:tc>
        <w:tc>
          <w:tcPr>
            <w:tcW w:w="1130" w:type="dxa"/>
            <w:vAlign w:val="center"/>
          </w:tcPr>
          <w:p w14:paraId="279EFED0"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1684" w:type="dxa"/>
            <w:shd w:val="clear" w:color="auto" w:fill="auto"/>
            <w:vAlign w:val="center"/>
          </w:tcPr>
          <w:p w14:paraId="19A22BEF"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1534" w:type="dxa"/>
            <w:shd w:val="clear" w:color="auto" w:fill="auto"/>
            <w:vAlign w:val="center"/>
          </w:tcPr>
          <w:p w14:paraId="7D7C3667"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2534" w:type="dxa"/>
            <w:shd w:val="clear" w:color="auto" w:fill="auto"/>
            <w:vAlign w:val="center"/>
          </w:tcPr>
          <w:p w14:paraId="214011AB"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c>
          <w:tcPr>
            <w:tcW w:w="992" w:type="dxa"/>
            <w:shd w:val="clear" w:color="auto" w:fill="auto"/>
            <w:vAlign w:val="center"/>
          </w:tcPr>
          <w:p w14:paraId="31F29787" w14:textId="77777777" w:rsidR="006F2783" w:rsidRPr="0086186A" w:rsidRDefault="006F2783" w:rsidP="009F6566">
            <w:pPr>
              <w:pStyle w:val="SorkznlklCESCI2020"/>
              <w:jc w:val="center"/>
              <w:rPr>
                <w:rFonts w:asciiTheme="majorBidi" w:hAnsiTheme="majorBidi" w:cstheme="majorBidi"/>
                <w:sz w:val="18"/>
                <w:szCs w:val="18"/>
                <w:lang w:val="hr-HR"/>
              </w:rPr>
            </w:pPr>
            <w:r w:rsidRPr="0086186A">
              <w:rPr>
                <w:rFonts w:asciiTheme="majorBidi" w:hAnsiTheme="majorBidi" w:cstheme="majorBidi"/>
                <w:sz w:val="18"/>
                <w:szCs w:val="18"/>
                <w:lang w:val="hr-HR"/>
              </w:rPr>
              <w:t>+</w:t>
            </w:r>
          </w:p>
        </w:tc>
      </w:tr>
    </w:tbl>
    <w:p w14:paraId="70A01B33" w14:textId="77777777" w:rsidR="00E257A5" w:rsidRPr="0086186A" w:rsidRDefault="00E257A5" w:rsidP="00D8786F">
      <w:pPr>
        <w:pStyle w:val="ListParagraph"/>
        <w:spacing w:after="0"/>
        <w:ind w:left="792"/>
        <w:jc w:val="both"/>
        <w:rPr>
          <w:rFonts w:eastAsia="Times New Roman" w:cs="Times New Roman"/>
          <w:b/>
          <w:noProof/>
          <w:color w:val="000000"/>
          <w:sz w:val="20"/>
          <w:szCs w:val="20"/>
          <w:lang w:val="hr-HR" w:eastAsia="en-GB"/>
        </w:rPr>
      </w:pPr>
    </w:p>
    <w:p w14:paraId="22077C77" w14:textId="77777777" w:rsidR="006F2783" w:rsidRPr="0086186A" w:rsidRDefault="006F2783">
      <w:pPr>
        <w:rPr>
          <w:rFonts w:eastAsia="Times New Roman" w:cs="Times New Roman"/>
          <w:b/>
          <w:noProof/>
          <w:color w:val="000000"/>
          <w:sz w:val="20"/>
          <w:szCs w:val="20"/>
          <w:lang w:val="hr-HR" w:eastAsia="en-GB"/>
        </w:rPr>
      </w:pPr>
      <w:r w:rsidRPr="0086186A">
        <w:rPr>
          <w:rFonts w:eastAsia="Times New Roman" w:cs="Times New Roman"/>
          <w:b/>
          <w:noProof/>
          <w:color w:val="000000"/>
          <w:sz w:val="20"/>
          <w:szCs w:val="20"/>
          <w:lang w:val="hr-HR" w:eastAsia="en-GB"/>
        </w:rPr>
        <w:lastRenderedPageBreak/>
        <w:br w:type="page"/>
      </w:r>
    </w:p>
    <w:p w14:paraId="4940620C" w14:textId="560FA2B0" w:rsidR="004325FD" w:rsidRPr="0086186A" w:rsidRDefault="005F3ADE" w:rsidP="00D8786F">
      <w:pPr>
        <w:pStyle w:val="ListParagraph"/>
        <w:numPr>
          <w:ilvl w:val="1"/>
          <w:numId w:val="2"/>
        </w:numPr>
        <w:spacing w:after="0"/>
        <w:jc w:val="both"/>
        <w:rPr>
          <w:rFonts w:eastAsia="Times New Roman" w:cs="Times New Roman"/>
          <w:b/>
          <w:noProof/>
          <w:color w:val="000000"/>
          <w:sz w:val="20"/>
          <w:szCs w:val="20"/>
          <w:lang w:val="hr-HR" w:eastAsia="en-GB"/>
        </w:rPr>
      </w:pPr>
      <w:r w:rsidRPr="0086186A">
        <w:rPr>
          <w:rFonts w:eastAsia="Times New Roman" w:cs="Times New Roman"/>
          <w:b/>
          <w:noProof/>
          <w:color w:val="000000"/>
          <w:sz w:val="20"/>
          <w:szCs w:val="20"/>
          <w:lang w:val="hr-HR" w:eastAsia="en-GB"/>
        </w:rPr>
        <w:lastRenderedPageBreak/>
        <w:t>Obrazloženje za odabrane ciljeve politike i ciljeve specifične za Interreg, odgovarajuće prioritete, specifične ciljeve ili djelovanja u okviru ciljeva specifičnih za Interreg i oblike potpore uz, prema potrebi, pojašnjenje poveznica koje nedostaju u prekograničnoj infrastrukturi</w:t>
      </w:r>
    </w:p>
    <w:p w14:paraId="45FE3D34" w14:textId="706636FD" w:rsidR="003437D0" w:rsidRPr="0086186A" w:rsidRDefault="005B45F5" w:rsidP="00D8786F">
      <w:pPr>
        <w:spacing w:after="0" w:line="240" w:lineRule="auto"/>
        <w:jc w:val="both"/>
        <w:rPr>
          <w:rFonts w:eastAsia="Times New Roman" w:cs="Times New Roman"/>
          <w:i/>
          <w:noProof/>
          <w:color w:val="000000"/>
          <w:sz w:val="20"/>
          <w:szCs w:val="20"/>
          <w:lang w:val="hr-HR" w:eastAsia="en-GB"/>
        </w:rPr>
      </w:pPr>
      <w:r w:rsidRPr="0086186A">
        <w:rPr>
          <w:rFonts w:eastAsia="Times New Roman" w:cs="Times New Roman"/>
          <w:i/>
          <w:noProof/>
          <w:color w:val="000000"/>
          <w:sz w:val="20"/>
          <w:szCs w:val="20"/>
          <w:lang w:val="hr-HR" w:eastAsia="en-GB"/>
        </w:rPr>
        <w:t>Referenc</w:t>
      </w:r>
      <w:r w:rsidR="00B22DF1" w:rsidRPr="0086186A">
        <w:rPr>
          <w:rFonts w:eastAsia="Times New Roman" w:cs="Times New Roman"/>
          <w:i/>
          <w:noProof/>
          <w:color w:val="000000"/>
          <w:sz w:val="20"/>
          <w:szCs w:val="20"/>
          <w:lang w:val="hr-HR" w:eastAsia="en-GB"/>
        </w:rPr>
        <w:t>a</w:t>
      </w:r>
      <w:r w:rsidRPr="0086186A">
        <w:rPr>
          <w:rFonts w:eastAsia="Times New Roman" w:cs="Times New Roman"/>
          <w:i/>
          <w:noProof/>
          <w:color w:val="000000"/>
          <w:sz w:val="20"/>
          <w:szCs w:val="20"/>
          <w:lang w:val="hr-HR" w:eastAsia="en-GB"/>
        </w:rPr>
        <w:t xml:space="preserve">: </w:t>
      </w:r>
      <w:r w:rsidR="00B22DF1" w:rsidRPr="0086186A">
        <w:rPr>
          <w:rFonts w:eastAsia="Times New Roman" w:cs="Times New Roman"/>
          <w:i/>
          <w:noProof/>
          <w:color w:val="000000"/>
          <w:sz w:val="20"/>
          <w:szCs w:val="20"/>
          <w:lang w:val="hr-HR" w:eastAsia="en-GB"/>
        </w:rPr>
        <w:t>članak 17. stavak 3. točka (c)</w:t>
      </w:r>
    </w:p>
    <w:p w14:paraId="1C588DA9" w14:textId="0C3F48B7" w:rsidR="00B22DF1" w:rsidRPr="0086186A" w:rsidRDefault="00B22DF1" w:rsidP="00D8786F">
      <w:pPr>
        <w:spacing w:after="0" w:line="240" w:lineRule="auto"/>
        <w:jc w:val="both"/>
        <w:rPr>
          <w:rFonts w:eastAsia="Times New Roman" w:cs="Times New Roman"/>
          <w:i/>
          <w:noProof/>
          <w:color w:val="000000"/>
          <w:sz w:val="20"/>
          <w:szCs w:val="20"/>
          <w:lang w:val="hr-HR" w:eastAsia="en-GB"/>
        </w:rPr>
      </w:pPr>
    </w:p>
    <w:p w14:paraId="72D5506C" w14:textId="694934D1" w:rsidR="00B22DF1" w:rsidRPr="0086186A" w:rsidRDefault="00B22DF1" w:rsidP="00D8786F">
      <w:pPr>
        <w:spacing w:after="0" w:line="240" w:lineRule="auto"/>
        <w:jc w:val="both"/>
        <w:rPr>
          <w:rFonts w:eastAsia="Times New Roman" w:cs="Times New Roman"/>
          <w:iCs/>
          <w:noProof/>
          <w:color w:val="000000"/>
          <w:sz w:val="20"/>
          <w:szCs w:val="20"/>
          <w:lang w:val="hr-HR" w:eastAsia="en-GB"/>
        </w:rPr>
      </w:pPr>
      <w:r w:rsidRPr="0086186A">
        <w:rPr>
          <w:rFonts w:eastAsia="Times New Roman" w:cs="Times New Roman"/>
          <w:iCs/>
          <w:noProof/>
          <w:color w:val="000000"/>
          <w:sz w:val="20"/>
          <w:szCs w:val="20"/>
          <w:lang w:val="hr-HR" w:eastAsia="en-GB"/>
        </w:rPr>
        <w:t>Prema „</w:t>
      </w:r>
      <w:r w:rsidRPr="0086186A">
        <w:rPr>
          <w:rFonts w:eastAsia="Times New Roman" w:cs="Times New Roman"/>
          <w:b/>
          <w:bCs/>
          <w:iCs/>
          <w:noProof/>
          <w:color w:val="000000"/>
          <w:sz w:val="20"/>
          <w:szCs w:val="20"/>
          <w:lang w:val="hr-HR" w:eastAsia="en-GB"/>
        </w:rPr>
        <w:t>Pograničnom orijentacijskom dokumentu</w:t>
      </w:r>
      <w:r w:rsidRPr="0086186A">
        <w:rPr>
          <w:rFonts w:eastAsia="Times New Roman" w:cs="Times New Roman"/>
          <w:iCs/>
          <w:noProof/>
          <w:color w:val="000000"/>
          <w:sz w:val="20"/>
          <w:szCs w:val="20"/>
          <w:lang w:val="hr-HR" w:eastAsia="en-GB"/>
        </w:rPr>
        <w:t>“ koji je predložila Europska komisija, kulturne, gospodarske i institucionalne razlike vrlo su očite na granici između dvije države, a pravne i administrativn razlike još uvijek priječe djelotvornu prekograničnu suradnju.</w:t>
      </w:r>
      <w:r w:rsidR="00837CB5" w:rsidRPr="0086186A">
        <w:rPr>
          <w:rFonts w:eastAsia="Times New Roman" w:cs="Times New Roman"/>
          <w:iCs/>
          <w:noProof/>
          <w:color w:val="000000"/>
          <w:sz w:val="20"/>
          <w:szCs w:val="20"/>
          <w:lang w:val="hr-HR" w:eastAsia="en-GB"/>
        </w:rPr>
        <w:t xml:space="preserve"> U tom dokumentu, Cilj politike 1. (s fokusom na istraživanje i inovacije, digitalizaciju i podršku poduzećima), Cilj politike 2. (s fokusom na klimatske promjene, prirodne rizike, biološku raznolikost i prirodne resurse), Cilj politike 4. (s fokusom na kulturu, turizam i obrazovanje) i Cilj specifičan za Interreg 1. smatraju se najrelevantnijim područjima podrške kroz program, a to se odražava i u programskoj strategiji kao odabranim područjima podrške kako slijedi:</w:t>
      </w:r>
    </w:p>
    <w:p w14:paraId="39818413" w14:textId="77777777" w:rsidR="007C2E5F" w:rsidRPr="0086186A" w:rsidRDefault="007C2E5F" w:rsidP="00D8786F">
      <w:pPr>
        <w:spacing w:after="0" w:line="240" w:lineRule="auto"/>
        <w:jc w:val="both"/>
        <w:rPr>
          <w:rFonts w:eastAsia="Times New Roman" w:cs="Times New Roman"/>
          <w:noProof/>
          <w:color w:val="000000"/>
          <w:sz w:val="20"/>
          <w:szCs w:val="20"/>
          <w:lang w:val="hr-HR" w:eastAsia="en-GB"/>
        </w:rPr>
      </w:pPr>
    </w:p>
    <w:p w14:paraId="457EBB5F" w14:textId="2875723D" w:rsidR="003437D0" w:rsidRPr="0086186A" w:rsidRDefault="005B45F5" w:rsidP="00D8786F">
      <w:pPr>
        <w:spacing w:after="0" w:line="240" w:lineRule="auto"/>
        <w:jc w:val="both"/>
        <w:rPr>
          <w:rFonts w:eastAsia="Times New Roman" w:cs="Times New Roman"/>
          <w:i/>
          <w:noProof/>
          <w:color w:val="000000"/>
          <w:sz w:val="20"/>
          <w:szCs w:val="20"/>
          <w:lang w:val="hr-HR" w:eastAsia="en-GB"/>
        </w:rPr>
      </w:pPr>
      <w:r w:rsidRPr="0086186A">
        <w:rPr>
          <w:rFonts w:eastAsia="Times New Roman" w:cs="Times New Roman"/>
          <w:i/>
          <w:noProof/>
          <w:color w:val="000000"/>
          <w:sz w:val="20"/>
          <w:szCs w:val="20"/>
          <w:lang w:val="hr-HR" w:eastAsia="en-GB"/>
        </w:rPr>
        <w:t>Tabl</w:t>
      </w:r>
      <w:r w:rsidR="00837CB5" w:rsidRPr="0086186A">
        <w:rPr>
          <w:rFonts w:eastAsia="Times New Roman" w:cs="Times New Roman"/>
          <w:i/>
          <w:noProof/>
          <w:color w:val="000000"/>
          <w:sz w:val="20"/>
          <w:szCs w:val="20"/>
          <w:lang w:val="hr-HR" w:eastAsia="en-GB"/>
        </w:rPr>
        <w:t>ica</w:t>
      </w:r>
      <w:r w:rsidRPr="0086186A">
        <w:rPr>
          <w:rFonts w:eastAsia="Times New Roman" w:cs="Times New Roman"/>
          <w:i/>
          <w:noProof/>
          <w:color w:val="000000"/>
          <w:sz w:val="20"/>
          <w:szCs w:val="20"/>
          <w:lang w:val="hr-HR" w:eastAsia="en-GB"/>
        </w:rPr>
        <w:t xml:space="preserve"> 1</w:t>
      </w:r>
      <w:r w:rsidR="00837CB5" w:rsidRPr="0086186A">
        <w:rPr>
          <w:rFonts w:eastAsia="Times New Roman" w:cs="Times New Roman"/>
          <w:i/>
          <w:noProof/>
          <w:color w:val="000000"/>
          <w:sz w:val="20"/>
          <w:szCs w:val="20"/>
          <w:lang w:val="hr-HR" w:eastAsia="en-GB"/>
        </w:rPr>
        <w:t>.</w:t>
      </w:r>
    </w:p>
    <w:tbl>
      <w:tblPr>
        <w:tblStyle w:val="CESCI2020Szurke"/>
        <w:tblW w:w="14454" w:type="dxa"/>
        <w:tblLayout w:type="fixed"/>
        <w:tblLook w:val="06A0" w:firstRow="1" w:lastRow="0" w:firstColumn="1" w:lastColumn="0" w:noHBand="1" w:noVBand="1"/>
      </w:tblPr>
      <w:tblGrid>
        <w:gridCol w:w="1810"/>
        <w:gridCol w:w="3348"/>
        <w:gridCol w:w="2605"/>
        <w:gridCol w:w="29"/>
        <w:gridCol w:w="6662"/>
      </w:tblGrid>
      <w:tr w:rsidR="00DA1E37" w:rsidRPr="0086186A" w14:paraId="5911B732" w14:textId="77777777" w:rsidTr="001854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vAlign w:val="top"/>
          </w:tcPr>
          <w:p w14:paraId="29E7104B" w14:textId="0D0DA601" w:rsidR="00DA1E37" w:rsidRPr="0086186A" w:rsidRDefault="00837CB5" w:rsidP="00837CB5">
            <w:pPr>
              <w:pStyle w:val="SorkznlklCESCI2020"/>
              <w:jc w:val="both"/>
              <w:rPr>
                <w:rFonts w:ascii="Times New Roman" w:hAnsi="Times New Roman" w:cs="Times New Roman"/>
                <w:szCs w:val="20"/>
                <w:lang w:val="hr-HR"/>
              </w:rPr>
            </w:pPr>
            <w:r w:rsidRPr="0086186A">
              <w:rPr>
                <w:rFonts w:ascii="Times New Roman" w:hAnsi="Times New Roman" w:cs="Times New Roman"/>
                <w:bCs/>
                <w:w w:val="90"/>
                <w:szCs w:val="20"/>
                <w:lang w:val="hr-HR"/>
              </w:rPr>
              <w:t xml:space="preserve">Odabrani cilj politike ili odabrani cilj specifičan za </w:t>
            </w:r>
            <w:proofErr w:type="spellStart"/>
            <w:r w:rsidRPr="0086186A">
              <w:rPr>
                <w:rFonts w:ascii="Times New Roman" w:hAnsi="Times New Roman" w:cs="Times New Roman"/>
                <w:bCs/>
                <w:w w:val="90"/>
                <w:szCs w:val="20"/>
                <w:lang w:val="hr-HR"/>
              </w:rPr>
              <w:t>Interreg</w:t>
            </w:r>
            <w:proofErr w:type="spellEnd"/>
          </w:p>
        </w:tc>
        <w:tc>
          <w:tcPr>
            <w:tcW w:w="3348" w:type="dxa"/>
            <w:vAlign w:val="top"/>
          </w:tcPr>
          <w:p w14:paraId="0217B5A8" w14:textId="3C484046" w:rsidR="00837CB5" w:rsidRPr="0086186A" w:rsidRDefault="00837CB5" w:rsidP="00837CB5">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0"/>
                <w:lang w:val="hr-HR"/>
              </w:rPr>
            </w:pPr>
            <w:r w:rsidRPr="0086186A">
              <w:rPr>
                <w:rFonts w:ascii="Times New Roman" w:hAnsi="Times New Roman" w:cs="Times New Roman"/>
                <w:sz w:val="20"/>
                <w:szCs w:val="20"/>
                <w:lang w:val="hr-HR"/>
              </w:rPr>
              <w:t>Odabrani posebni cilj (prijedlog na temelju razloga za odabir SO-ova, podložno odobrenju PC-a)</w:t>
            </w:r>
          </w:p>
          <w:p w14:paraId="2068CC7D" w14:textId="2C97C9AC" w:rsidR="00DA1E37" w:rsidRPr="0086186A" w:rsidRDefault="00DA1E37" w:rsidP="00D8786F">
            <w:pPr>
              <w:pStyle w:val="SorkznlklCESCI20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0"/>
                <w:lang w:val="hr-HR"/>
              </w:rPr>
            </w:pPr>
          </w:p>
        </w:tc>
        <w:tc>
          <w:tcPr>
            <w:tcW w:w="2605" w:type="dxa"/>
            <w:vAlign w:val="top"/>
          </w:tcPr>
          <w:p w14:paraId="7684AA90" w14:textId="77777777" w:rsidR="00DA1E37" w:rsidRPr="0086186A" w:rsidRDefault="00DA1E37" w:rsidP="00D8786F">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hr-HR"/>
              </w:rPr>
            </w:pPr>
          </w:p>
          <w:p w14:paraId="6F799692" w14:textId="7E082E15" w:rsidR="00DA1E37" w:rsidRPr="0086186A" w:rsidRDefault="00DA1E37" w:rsidP="00D8786F">
            <w:pPr>
              <w:pStyle w:val="SorkznlklCESCI20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0"/>
                <w:lang w:val="hr-HR"/>
              </w:rPr>
            </w:pPr>
            <w:r w:rsidRPr="0086186A">
              <w:rPr>
                <w:rFonts w:ascii="Times New Roman" w:hAnsi="Times New Roman" w:cs="Times New Roman"/>
                <w:szCs w:val="20"/>
                <w:lang w:val="hr-HR"/>
              </w:rPr>
              <w:t>Priorit</w:t>
            </w:r>
            <w:r w:rsidR="00837CB5" w:rsidRPr="0086186A">
              <w:rPr>
                <w:rFonts w:ascii="Times New Roman" w:hAnsi="Times New Roman" w:cs="Times New Roman"/>
                <w:szCs w:val="20"/>
                <w:lang w:val="hr-HR"/>
              </w:rPr>
              <w:t>et</w:t>
            </w:r>
          </w:p>
        </w:tc>
        <w:tc>
          <w:tcPr>
            <w:tcW w:w="6691" w:type="dxa"/>
            <w:gridSpan w:val="2"/>
            <w:vAlign w:val="top"/>
          </w:tcPr>
          <w:p w14:paraId="65742474" w14:textId="77777777" w:rsidR="00837CB5" w:rsidRPr="0086186A" w:rsidRDefault="00837CB5" w:rsidP="00D8786F">
            <w:pPr>
              <w:pStyle w:val="SorkznlklCESCI20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0"/>
                <w:lang w:val="hr-HR"/>
              </w:rPr>
            </w:pPr>
          </w:p>
          <w:p w14:paraId="269263F7" w14:textId="6773EDBC" w:rsidR="00DA1E37" w:rsidRPr="0086186A" w:rsidRDefault="00837CB5" w:rsidP="00D8786F">
            <w:pPr>
              <w:pStyle w:val="SorkznlklCESCI20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0"/>
                <w:lang w:val="hr-HR"/>
              </w:rPr>
            </w:pPr>
            <w:r w:rsidRPr="0086186A">
              <w:rPr>
                <w:rFonts w:ascii="Times New Roman" w:hAnsi="Times New Roman" w:cs="Times New Roman"/>
                <w:szCs w:val="20"/>
                <w:lang w:val="hr-HR"/>
              </w:rPr>
              <w:t>Obrazloženje za odabir</w:t>
            </w:r>
          </w:p>
        </w:tc>
      </w:tr>
      <w:tr w:rsidR="00DA1E37" w:rsidRPr="0086186A" w14:paraId="55EA7DC4" w14:textId="77777777" w:rsidTr="0018543A">
        <w:tc>
          <w:tcPr>
            <w:cnfStyle w:val="001000000000" w:firstRow="0" w:lastRow="0" w:firstColumn="1" w:lastColumn="0" w:oddVBand="0" w:evenVBand="0" w:oddHBand="0" w:evenHBand="0" w:firstRowFirstColumn="0" w:firstRowLastColumn="0" w:lastRowFirstColumn="0" w:lastRowLastColumn="0"/>
            <w:tcW w:w="1810" w:type="dxa"/>
            <w:vAlign w:val="top"/>
          </w:tcPr>
          <w:p w14:paraId="1E2805E9" w14:textId="4A95EE3A" w:rsidR="00DA1E37" w:rsidRPr="0086186A" w:rsidRDefault="003C31E2" w:rsidP="00D8786F">
            <w:pPr>
              <w:pStyle w:val="TableParagraph"/>
              <w:rPr>
                <w:rFonts w:ascii="Times New Roman" w:hAnsi="Times New Roman" w:cs="Times New Roman"/>
                <w:sz w:val="20"/>
                <w:szCs w:val="20"/>
                <w:lang w:val="hr-HR"/>
              </w:rPr>
            </w:pPr>
            <w:r w:rsidRPr="0086186A">
              <w:rPr>
                <w:rFonts w:ascii="Times New Roman" w:hAnsi="Times New Roman" w:cs="Times New Roman"/>
                <w:sz w:val="20"/>
                <w:szCs w:val="20"/>
                <w:lang w:val="hr-HR"/>
              </w:rPr>
              <w:t>Cilj politike</w:t>
            </w:r>
            <w:r w:rsidR="00DA1E37" w:rsidRPr="0086186A">
              <w:rPr>
                <w:rFonts w:ascii="Times New Roman" w:hAnsi="Times New Roman" w:cs="Times New Roman"/>
                <w:sz w:val="20"/>
                <w:szCs w:val="20"/>
                <w:lang w:val="hr-HR"/>
              </w:rPr>
              <w:t xml:space="preserve"> 1 – </w:t>
            </w:r>
            <w:r w:rsidRPr="0086186A">
              <w:rPr>
                <w:rFonts w:ascii="Times New Roman" w:hAnsi="Times New Roman" w:cs="Times New Roman"/>
                <w:sz w:val="20"/>
                <w:szCs w:val="20"/>
                <w:lang w:val="hr-HR"/>
              </w:rPr>
              <w:t>Pametnija Europa promicanjem inovativne i pametne gospodarske preobrazbe</w:t>
            </w:r>
          </w:p>
          <w:p w14:paraId="17ADE969" w14:textId="383A063B" w:rsidR="00DA1E37" w:rsidRPr="0086186A" w:rsidRDefault="00DA1E37" w:rsidP="00D8786F">
            <w:pPr>
              <w:pStyle w:val="SorkznlklCESCI2020"/>
              <w:jc w:val="both"/>
              <w:rPr>
                <w:rFonts w:ascii="Times New Roman" w:hAnsi="Times New Roman" w:cs="Times New Roman"/>
                <w:szCs w:val="20"/>
                <w:lang w:val="hr-HR"/>
              </w:rPr>
            </w:pPr>
          </w:p>
        </w:tc>
        <w:tc>
          <w:tcPr>
            <w:tcW w:w="3348" w:type="dxa"/>
            <w:vAlign w:val="top"/>
          </w:tcPr>
          <w:p w14:paraId="05E0185F" w14:textId="324A0A0E" w:rsidR="00DA1E37" w:rsidRPr="0086186A" w:rsidRDefault="008A785D" w:rsidP="008A785D">
            <w:pPr>
              <w:pStyle w:val="SorkznlklCESCI20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lang w:val="hr-HR"/>
              </w:rPr>
            </w:pPr>
            <w:r w:rsidRPr="0086186A">
              <w:rPr>
                <w:rFonts w:ascii="Times New Roman" w:eastAsia="Times New Roman" w:hAnsi="Times New Roman" w:cs="Times New Roman"/>
                <w:bCs/>
                <w:i/>
                <w:iCs/>
                <w:szCs w:val="20"/>
                <w:lang w:val="hr-HR" w:eastAsia="en-GB"/>
              </w:rPr>
              <w:t xml:space="preserve">(iii) </w:t>
            </w:r>
            <w:r w:rsidRPr="0086186A">
              <w:rPr>
                <w:rFonts w:ascii="Times New Roman" w:eastAsia="Times New Roman" w:hAnsi="Times New Roman" w:cs="Times New Roman"/>
                <w:bCs/>
                <w:i/>
                <w:iCs/>
                <w:szCs w:val="20"/>
                <w:lang w:val="hr-HR" w:eastAsia="en-GB"/>
              </w:rPr>
              <w:tab/>
            </w:r>
            <w:r w:rsidR="00EB273A" w:rsidRPr="0086186A">
              <w:rPr>
                <w:rFonts w:ascii="Times New Roman" w:eastAsia="Times New Roman" w:hAnsi="Times New Roman" w:cs="Times New Roman"/>
                <w:bCs/>
                <w:i/>
                <w:iCs/>
                <w:szCs w:val="20"/>
                <w:lang w:val="hr-HR" w:eastAsia="en-GB"/>
              </w:rPr>
              <w:t xml:space="preserve">Jačanje održivog rasta i konkurentnosti </w:t>
            </w:r>
            <w:proofErr w:type="spellStart"/>
            <w:r w:rsidR="00EB273A" w:rsidRPr="0086186A">
              <w:rPr>
                <w:rFonts w:ascii="Times New Roman" w:eastAsia="Times New Roman" w:hAnsi="Times New Roman" w:cs="Times New Roman"/>
                <w:bCs/>
                <w:i/>
                <w:iCs/>
                <w:szCs w:val="20"/>
                <w:lang w:val="hr-HR" w:eastAsia="en-GB"/>
              </w:rPr>
              <w:t>MSP</w:t>
            </w:r>
            <w:proofErr w:type="spellEnd"/>
            <w:r w:rsidR="00EB273A" w:rsidRPr="0086186A">
              <w:rPr>
                <w:rFonts w:ascii="Times New Roman" w:eastAsia="Times New Roman" w:hAnsi="Times New Roman" w:cs="Times New Roman"/>
                <w:bCs/>
                <w:i/>
                <w:iCs/>
                <w:szCs w:val="20"/>
                <w:lang w:val="hr-HR" w:eastAsia="en-GB"/>
              </w:rPr>
              <w:t>-ova i otvaranje radnih mjesta u njima, među ostalim i kroz produktivna ulaganja</w:t>
            </w:r>
          </w:p>
        </w:tc>
        <w:tc>
          <w:tcPr>
            <w:tcW w:w="2605" w:type="dxa"/>
            <w:vAlign w:val="top"/>
          </w:tcPr>
          <w:p w14:paraId="23817323" w14:textId="63B3C914" w:rsidR="00DA1E37" w:rsidRPr="0086186A" w:rsidRDefault="00DA1E37" w:rsidP="00D8786F">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1. </w:t>
            </w:r>
            <w:r w:rsidR="00EB273A" w:rsidRPr="0086186A">
              <w:rPr>
                <w:rFonts w:ascii="Times New Roman" w:hAnsi="Times New Roman" w:cs="Times New Roman"/>
                <w:sz w:val="20"/>
                <w:szCs w:val="20"/>
                <w:lang w:val="hr-HR"/>
              </w:rPr>
              <w:t>Konkurentno pogranično područje</w:t>
            </w:r>
          </w:p>
          <w:p w14:paraId="0113A2F9" w14:textId="2E508721" w:rsidR="00DA1E37" w:rsidRPr="0086186A" w:rsidRDefault="00DA1E37" w:rsidP="00D8786F">
            <w:pPr>
              <w:pStyle w:val="SorkznlklCESCI20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lang w:val="hr-HR"/>
              </w:rPr>
            </w:pPr>
          </w:p>
        </w:tc>
        <w:tc>
          <w:tcPr>
            <w:tcW w:w="6691" w:type="dxa"/>
            <w:gridSpan w:val="2"/>
            <w:vAlign w:val="top"/>
          </w:tcPr>
          <w:p w14:paraId="3DE2D4C9" w14:textId="18580FAC" w:rsidR="00DA1E37" w:rsidRPr="0086186A" w:rsidRDefault="00EB273A"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r-HR"/>
              </w:rPr>
            </w:pPr>
            <w:bookmarkStart w:id="2" w:name="_Hlk72317793"/>
            <w:r w:rsidRPr="0086186A">
              <w:rPr>
                <w:rFonts w:ascii="Times New Roman" w:hAnsi="Times New Roman" w:cs="Times New Roman"/>
                <w:sz w:val="20"/>
                <w:szCs w:val="20"/>
                <w:lang w:val="hr-HR"/>
              </w:rPr>
              <w:t>Poticanje prekogranične suradnje među poduzećima</w:t>
            </w:r>
          </w:p>
          <w:p w14:paraId="3C73C41E" w14:textId="77777777" w:rsidR="00E91CB7" w:rsidRPr="0086186A" w:rsidRDefault="00E91CB7"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r-HR"/>
              </w:rPr>
            </w:pPr>
          </w:p>
          <w:p w14:paraId="02C243BA" w14:textId="0F6D6C51" w:rsidR="00EB273A" w:rsidRPr="0086186A" w:rsidRDefault="00EB273A" w:rsidP="00EB273A">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Gospodarski rezultati pograničnog područja obilježeni su stagnacijom, a u nekim županijama i padom, što je dovelo do kontinuiranog povećanja </w:t>
            </w:r>
            <w:r w:rsidR="000C138C" w:rsidRPr="0086186A">
              <w:rPr>
                <w:rFonts w:ascii="Times New Roman" w:hAnsi="Times New Roman" w:cs="Times New Roman"/>
                <w:sz w:val="20"/>
                <w:szCs w:val="20"/>
                <w:lang w:val="hr-HR"/>
              </w:rPr>
              <w:t>teritorijalnih</w:t>
            </w:r>
            <w:r w:rsidRPr="0086186A">
              <w:rPr>
                <w:rFonts w:ascii="Times New Roman" w:hAnsi="Times New Roman" w:cs="Times New Roman"/>
                <w:sz w:val="20"/>
                <w:szCs w:val="20"/>
                <w:lang w:val="hr-HR"/>
              </w:rPr>
              <w:t xml:space="preserve"> nejednakosti. Unatoč relativno povoljnoj situaciji na zapadnoj periferiji hrvatske strane, većina pograničnog područja daleko je ispod europskog prosjeka s obzirom na gospodarske pokazatelje. Rezultati izvoza i uvoza pograničnog područja ispod su odnosnih nacionalnih prosjeka, s vrlo niskom razinom prekograničnih </w:t>
            </w:r>
            <w:r w:rsidR="000C138C" w:rsidRPr="0086186A">
              <w:rPr>
                <w:rFonts w:ascii="Times New Roman" w:hAnsi="Times New Roman" w:cs="Times New Roman"/>
                <w:sz w:val="20"/>
                <w:szCs w:val="20"/>
                <w:lang w:val="hr-HR"/>
              </w:rPr>
              <w:t>poslov</w:t>
            </w:r>
            <w:r w:rsidR="000C138C">
              <w:rPr>
                <w:rFonts w:ascii="Times New Roman" w:hAnsi="Times New Roman" w:cs="Times New Roman"/>
                <w:sz w:val="20"/>
                <w:szCs w:val="20"/>
                <w:lang w:val="hr-HR"/>
              </w:rPr>
              <w:t>nih</w:t>
            </w:r>
            <w:r w:rsidRPr="0086186A">
              <w:rPr>
                <w:rFonts w:ascii="Times New Roman" w:hAnsi="Times New Roman" w:cs="Times New Roman"/>
                <w:sz w:val="20"/>
                <w:szCs w:val="20"/>
                <w:lang w:val="hr-HR"/>
              </w:rPr>
              <w:t xml:space="preserve"> aktivnosti među poduzećima. Nadalje, rezultati inovacija pograničnog područja slabi su, što se </w:t>
            </w:r>
            <w:r w:rsidR="000C138C" w:rsidRPr="0086186A">
              <w:rPr>
                <w:rFonts w:ascii="Times New Roman" w:hAnsi="Times New Roman" w:cs="Times New Roman"/>
                <w:sz w:val="20"/>
                <w:szCs w:val="20"/>
                <w:lang w:val="hr-HR"/>
              </w:rPr>
              <w:t>odražavaju</w:t>
            </w:r>
            <w:r w:rsidRPr="0086186A">
              <w:rPr>
                <w:rFonts w:ascii="Times New Roman" w:hAnsi="Times New Roman" w:cs="Times New Roman"/>
                <w:sz w:val="20"/>
                <w:szCs w:val="20"/>
                <w:lang w:val="hr-HR"/>
              </w:rPr>
              <w:t xml:space="preserve"> niskim izdacima za istraživanje i razvoj u odnosu na BDP. To posebno vrijedi za izdatke poduzeća za istraživanje i razvoj (</w:t>
            </w:r>
            <w:proofErr w:type="spellStart"/>
            <w:r w:rsidRPr="0086186A">
              <w:rPr>
                <w:rFonts w:ascii="Times New Roman" w:hAnsi="Times New Roman" w:cs="Times New Roman"/>
                <w:sz w:val="20"/>
                <w:szCs w:val="20"/>
                <w:lang w:val="hr-HR"/>
              </w:rPr>
              <w:t>BERD</w:t>
            </w:r>
            <w:proofErr w:type="spellEnd"/>
            <w:r w:rsidRPr="0086186A">
              <w:rPr>
                <w:rFonts w:ascii="Times New Roman" w:hAnsi="Times New Roman" w:cs="Times New Roman"/>
                <w:sz w:val="20"/>
                <w:szCs w:val="20"/>
                <w:lang w:val="hr-HR"/>
              </w:rPr>
              <w:t>).</w:t>
            </w:r>
          </w:p>
          <w:p w14:paraId="0A57E52A" w14:textId="68FF338D" w:rsidR="00D377A9" w:rsidRPr="0086186A" w:rsidRDefault="00D377A9" w:rsidP="00EB273A">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r-HR"/>
              </w:rPr>
            </w:pPr>
          </w:p>
          <w:p w14:paraId="2169AA60" w14:textId="73E1293A" w:rsidR="00D377A9" w:rsidRPr="0086186A" w:rsidRDefault="00D377A9" w:rsidP="00EB273A">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Velike udaljenosti između graničnih prijelaza donose loše gospodarske rezultate, malen obim prekogranične trgovine i slabu prisutnost na stranim tržištima, stoga bi se komplementarna poslovna suradnja </w:t>
            </w:r>
            <w:proofErr w:type="spellStart"/>
            <w:r w:rsidRPr="0086186A">
              <w:rPr>
                <w:rFonts w:ascii="Times New Roman" w:hAnsi="Times New Roman" w:cs="Times New Roman"/>
                <w:sz w:val="20"/>
                <w:szCs w:val="20"/>
                <w:lang w:val="hr-HR"/>
              </w:rPr>
              <w:t>MSP</w:t>
            </w:r>
            <w:proofErr w:type="spellEnd"/>
            <w:r w:rsidRPr="0086186A">
              <w:rPr>
                <w:rFonts w:ascii="Times New Roman" w:hAnsi="Times New Roman" w:cs="Times New Roman"/>
                <w:sz w:val="20"/>
                <w:szCs w:val="20"/>
                <w:lang w:val="hr-HR"/>
              </w:rPr>
              <w:t xml:space="preserve">-ova na obje strane granice trebala ojačati s fokusom na zajedničkom pojavljivanju na međusobnim tržištima, kao i na trećim tržištima. Poslovna suradnja među </w:t>
            </w:r>
            <w:proofErr w:type="spellStart"/>
            <w:r w:rsidRPr="0086186A">
              <w:rPr>
                <w:rFonts w:ascii="Times New Roman" w:hAnsi="Times New Roman" w:cs="Times New Roman"/>
                <w:sz w:val="20"/>
                <w:szCs w:val="20"/>
                <w:lang w:val="hr-HR"/>
              </w:rPr>
              <w:t>MSP</w:t>
            </w:r>
            <w:proofErr w:type="spellEnd"/>
            <w:r w:rsidRPr="0086186A">
              <w:rPr>
                <w:rFonts w:ascii="Times New Roman" w:hAnsi="Times New Roman" w:cs="Times New Roman"/>
                <w:sz w:val="20"/>
                <w:szCs w:val="20"/>
                <w:lang w:val="hr-HR"/>
              </w:rPr>
              <w:t>-ovima imat će pozitiv</w:t>
            </w:r>
            <w:r w:rsidR="000C138C">
              <w:rPr>
                <w:rFonts w:ascii="Times New Roman" w:hAnsi="Times New Roman" w:cs="Times New Roman"/>
                <w:sz w:val="20"/>
                <w:szCs w:val="20"/>
                <w:lang w:val="hr-HR"/>
              </w:rPr>
              <w:t>a</w:t>
            </w:r>
            <w:r w:rsidRPr="0086186A">
              <w:rPr>
                <w:rFonts w:ascii="Times New Roman" w:hAnsi="Times New Roman" w:cs="Times New Roman"/>
                <w:sz w:val="20"/>
                <w:szCs w:val="20"/>
                <w:lang w:val="hr-HR"/>
              </w:rPr>
              <w:t>n učinak na konkurentnost, stvaranje dodane vrijednosti i poboljšanje situacije u pogledu zapošljavanja.</w:t>
            </w:r>
          </w:p>
          <w:p w14:paraId="32FAB812" w14:textId="57745CCF" w:rsidR="00D377A9" w:rsidRPr="0086186A" w:rsidRDefault="00D377A9" w:rsidP="00EB273A">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r-HR"/>
              </w:rPr>
            </w:pPr>
          </w:p>
          <w:p w14:paraId="26195BF9" w14:textId="32CF0CB1" w:rsidR="00D377A9" w:rsidRPr="0086186A" w:rsidRDefault="00D377A9" w:rsidP="00EB273A">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Zbog slabih rezultata poduzetničke inovativnosti treba promicati razvoj inovativnih proizvoda, usluga i tehnologija na temelju suradnje među </w:t>
            </w:r>
            <w:proofErr w:type="spellStart"/>
            <w:r w:rsidRPr="0086186A">
              <w:rPr>
                <w:rFonts w:ascii="Times New Roman" w:hAnsi="Times New Roman" w:cs="Times New Roman"/>
                <w:sz w:val="20"/>
                <w:szCs w:val="20"/>
                <w:lang w:val="hr-HR"/>
              </w:rPr>
              <w:t>MSP</w:t>
            </w:r>
            <w:proofErr w:type="spellEnd"/>
            <w:r w:rsidRPr="0086186A">
              <w:rPr>
                <w:rFonts w:ascii="Times New Roman" w:hAnsi="Times New Roman" w:cs="Times New Roman"/>
                <w:sz w:val="20"/>
                <w:szCs w:val="20"/>
                <w:lang w:val="hr-HR"/>
              </w:rPr>
              <w:t>-</w:t>
            </w:r>
            <w:r w:rsidRPr="0086186A">
              <w:rPr>
                <w:rFonts w:ascii="Times New Roman" w:hAnsi="Times New Roman" w:cs="Times New Roman"/>
                <w:sz w:val="20"/>
                <w:szCs w:val="20"/>
                <w:lang w:val="hr-HR"/>
              </w:rPr>
              <w:lastRenderedPageBreak/>
              <w:t xml:space="preserve">ovima koji posluju u pogranično području, pri čemu bi partnerski </w:t>
            </w:r>
            <w:proofErr w:type="spellStart"/>
            <w:r w:rsidRPr="0086186A">
              <w:rPr>
                <w:rFonts w:ascii="Times New Roman" w:hAnsi="Times New Roman" w:cs="Times New Roman"/>
                <w:sz w:val="20"/>
                <w:szCs w:val="20"/>
                <w:lang w:val="hr-HR"/>
              </w:rPr>
              <w:t>MSP</w:t>
            </w:r>
            <w:proofErr w:type="spellEnd"/>
            <w:r w:rsidRPr="0086186A">
              <w:rPr>
                <w:rFonts w:ascii="Times New Roman" w:hAnsi="Times New Roman" w:cs="Times New Roman"/>
                <w:sz w:val="20"/>
                <w:szCs w:val="20"/>
                <w:lang w:val="hr-HR"/>
              </w:rPr>
              <w:t>-ovi imali komplementarnu ulogu u razvoju zajedničkih inicijativa, s jasnom podjelom posla u skladu s profesionalnim kompetencijama.</w:t>
            </w:r>
          </w:p>
          <w:p w14:paraId="4C26ABA8" w14:textId="02943635" w:rsidR="00D377A9" w:rsidRPr="0086186A" w:rsidRDefault="00D377A9" w:rsidP="00EB273A">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r-HR"/>
              </w:rPr>
            </w:pPr>
          </w:p>
          <w:p w14:paraId="0AF0517E" w14:textId="4F3168A4" w:rsidR="00D377A9" w:rsidRPr="0086186A" w:rsidRDefault="00D377A9" w:rsidP="00EB273A">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Zajedničku suradnju u inovacijama i poslovanju </w:t>
            </w:r>
            <w:proofErr w:type="spellStart"/>
            <w:r w:rsidRPr="0086186A">
              <w:rPr>
                <w:rFonts w:ascii="Times New Roman" w:hAnsi="Times New Roman" w:cs="Times New Roman"/>
                <w:sz w:val="20"/>
                <w:szCs w:val="20"/>
                <w:lang w:val="hr-HR"/>
              </w:rPr>
              <w:t>MSP</w:t>
            </w:r>
            <w:proofErr w:type="spellEnd"/>
            <w:r w:rsidRPr="0086186A">
              <w:rPr>
                <w:rFonts w:ascii="Times New Roman" w:hAnsi="Times New Roman" w:cs="Times New Roman"/>
                <w:sz w:val="20"/>
                <w:szCs w:val="20"/>
                <w:lang w:val="hr-HR"/>
              </w:rPr>
              <w:t>-ova u programskom području trebalo bi podržati uključenjem odgovarajućih organizacija za poslovnu podršku te istraživanje i razvoj, uglavnom u osmišljavanju i razvoju prekograničnih projekata.</w:t>
            </w:r>
          </w:p>
          <w:p w14:paraId="35883C50" w14:textId="467E8FA5" w:rsidR="00D377A9" w:rsidRPr="0086186A" w:rsidRDefault="00D377A9" w:rsidP="00EB273A">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r-HR"/>
              </w:rPr>
            </w:pPr>
          </w:p>
          <w:p w14:paraId="63DAA4A0" w14:textId="3D362094" w:rsidR="00DA1E37" w:rsidRPr="0086186A" w:rsidRDefault="00D377A9" w:rsidP="003B2EAD">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Bespovratna sredstva </w:t>
            </w:r>
            <w:r w:rsidR="003B2EAD" w:rsidRPr="0086186A">
              <w:rPr>
                <w:rFonts w:ascii="Times New Roman" w:hAnsi="Times New Roman" w:cs="Times New Roman"/>
                <w:sz w:val="20"/>
                <w:szCs w:val="20"/>
                <w:lang w:val="hr-HR"/>
              </w:rPr>
              <w:t>bit će omogućena za financiranje projekata na temelju ovog posebnog cilja jer se ne primjenjuje nijedan financijski instrument.</w:t>
            </w:r>
            <w:bookmarkEnd w:id="2"/>
          </w:p>
        </w:tc>
      </w:tr>
      <w:tr w:rsidR="00DA1E37" w:rsidRPr="0086186A" w14:paraId="19917E4B" w14:textId="77777777" w:rsidTr="0018543A">
        <w:tc>
          <w:tcPr>
            <w:cnfStyle w:val="001000000000" w:firstRow="0" w:lastRow="0" w:firstColumn="1" w:lastColumn="0" w:oddVBand="0" w:evenVBand="0" w:oddHBand="0" w:evenHBand="0" w:firstRowFirstColumn="0" w:firstRowLastColumn="0" w:lastRowFirstColumn="0" w:lastRowLastColumn="0"/>
            <w:tcW w:w="1810" w:type="dxa"/>
            <w:vAlign w:val="top"/>
          </w:tcPr>
          <w:p w14:paraId="1FE7BAC5" w14:textId="5A805830" w:rsidR="00DA1E37" w:rsidRPr="0086186A" w:rsidRDefault="003C31E2" w:rsidP="003B2EAD">
            <w:pPr>
              <w:pStyle w:val="SorkznlklCESCI2020"/>
              <w:rPr>
                <w:rFonts w:ascii="Times New Roman" w:hAnsi="Times New Roman" w:cs="Times New Roman"/>
                <w:szCs w:val="20"/>
                <w:lang w:val="hr-HR"/>
              </w:rPr>
            </w:pPr>
            <w:r w:rsidRPr="0086186A">
              <w:rPr>
                <w:rFonts w:ascii="Times New Roman" w:hAnsi="Times New Roman" w:cs="Times New Roman"/>
                <w:szCs w:val="20"/>
                <w:lang w:val="hr-HR"/>
              </w:rPr>
              <w:lastRenderedPageBreak/>
              <w:t xml:space="preserve">Cilj politike </w:t>
            </w:r>
            <w:r w:rsidR="00DA1E37" w:rsidRPr="0086186A">
              <w:rPr>
                <w:rFonts w:ascii="Times New Roman" w:hAnsi="Times New Roman" w:cs="Times New Roman"/>
                <w:szCs w:val="20"/>
                <w:lang w:val="hr-HR"/>
              </w:rPr>
              <w:t xml:space="preserve">2 – </w:t>
            </w:r>
            <w:r w:rsidR="003B2EAD" w:rsidRPr="0086186A">
              <w:rPr>
                <w:rFonts w:ascii="Times New Roman" w:eastAsia="Cambria" w:hAnsi="Times New Roman" w:cs="Times New Roman"/>
                <w:szCs w:val="20"/>
                <w:lang w:val="hr-HR"/>
              </w:rPr>
              <w:t xml:space="preserve">Zelenija Europa s niskom razinom emisija ugljika promicanjem prelaska na čistu i pravednu energiju zelenih i plavih ulaganja  kružnog gospodarstva prilagodbe klimatskim promjenama i upravljanja rizikom i njegova sprječavanja. </w:t>
            </w:r>
          </w:p>
        </w:tc>
        <w:tc>
          <w:tcPr>
            <w:tcW w:w="3348" w:type="dxa"/>
            <w:vAlign w:val="top"/>
          </w:tcPr>
          <w:p w14:paraId="2F5D014A" w14:textId="13892D2C" w:rsidR="008A785D" w:rsidRPr="0086186A" w:rsidRDefault="008A785D" w:rsidP="003B2EAD">
            <w:pPr>
              <w:ind w:left="357" w:hanging="357"/>
              <w:cnfStyle w:val="000000000000" w:firstRow="0" w:lastRow="0" w:firstColumn="0" w:lastColumn="0" w:oddVBand="0" w:evenVBand="0" w:oddHBand="0" w:evenHBand="0" w:firstRowFirstColumn="0" w:firstRowLastColumn="0" w:lastRowFirstColumn="0" w:lastRowLastColumn="0"/>
              <w:rPr>
                <w:rFonts w:eastAsia="Times New Roman" w:cs="Times New Roman"/>
                <w:bCs/>
                <w:i/>
                <w:iCs/>
                <w:sz w:val="20"/>
                <w:szCs w:val="20"/>
                <w:lang w:val="hr-HR" w:eastAsia="en-GB"/>
              </w:rPr>
            </w:pPr>
            <w:r w:rsidRPr="0086186A">
              <w:rPr>
                <w:rFonts w:eastAsia="Times New Roman" w:cs="Times New Roman"/>
                <w:bCs/>
                <w:i/>
                <w:iCs/>
                <w:sz w:val="20"/>
                <w:szCs w:val="20"/>
                <w:lang w:val="hr-HR" w:eastAsia="en-GB"/>
              </w:rPr>
              <w:t>(i)</w:t>
            </w:r>
            <w:r w:rsidRPr="0086186A">
              <w:rPr>
                <w:rFonts w:eastAsia="Times New Roman" w:cs="Times New Roman"/>
                <w:bCs/>
                <w:i/>
                <w:iCs/>
                <w:sz w:val="20"/>
                <w:szCs w:val="20"/>
                <w:lang w:val="hr-HR" w:eastAsia="en-GB"/>
              </w:rPr>
              <w:tab/>
            </w:r>
            <w:r w:rsidR="003B2EAD" w:rsidRPr="0086186A">
              <w:rPr>
                <w:rFonts w:eastAsia="Times New Roman" w:cs="Times New Roman"/>
                <w:bCs/>
                <w:i/>
                <w:iCs/>
                <w:sz w:val="20"/>
                <w:szCs w:val="20"/>
                <w:lang w:val="hr-HR" w:eastAsia="en-GB"/>
              </w:rPr>
              <w:t>Promicanje energetske učinkovitosti i smanjenje emisija stakleničkih plinova</w:t>
            </w:r>
          </w:p>
          <w:p w14:paraId="17F4E6FE" w14:textId="7B5A0390" w:rsidR="00DA1E37" w:rsidRPr="0086186A" w:rsidRDefault="00DA1E37" w:rsidP="008A785D">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lang w:val="hr-HR"/>
              </w:rPr>
            </w:pPr>
          </w:p>
        </w:tc>
        <w:tc>
          <w:tcPr>
            <w:tcW w:w="2605" w:type="dxa"/>
            <w:vAlign w:val="top"/>
          </w:tcPr>
          <w:p w14:paraId="3CE6566D" w14:textId="573951DE" w:rsidR="00DA1E37" w:rsidRPr="0086186A" w:rsidRDefault="00DA1E37" w:rsidP="00D8786F">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2. </w:t>
            </w:r>
            <w:r w:rsidR="003B2EAD" w:rsidRPr="0086186A">
              <w:rPr>
                <w:rFonts w:ascii="Times New Roman" w:hAnsi="Times New Roman" w:cs="Times New Roman"/>
                <w:sz w:val="20"/>
                <w:szCs w:val="20"/>
                <w:lang w:val="hr-HR"/>
              </w:rPr>
              <w:t xml:space="preserve">Zelenije i </w:t>
            </w:r>
            <w:proofErr w:type="spellStart"/>
            <w:r w:rsidR="003B2EAD" w:rsidRPr="0086186A">
              <w:rPr>
                <w:rFonts w:ascii="Times New Roman" w:hAnsi="Times New Roman" w:cs="Times New Roman"/>
                <w:sz w:val="20"/>
                <w:szCs w:val="20"/>
                <w:lang w:val="hr-HR"/>
              </w:rPr>
              <w:t>niskougljično</w:t>
            </w:r>
            <w:proofErr w:type="spellEnd"/>
            <w:r w:rsidR="003B2EAD" w:rsidRPr="0086186A">
              <w:rPr>
                <w:rFonts w:ascii="Times New Roman" w:hAnsi="Times New Roman" w:cs="Times New Roman"/>
                <w:sz w:val="20"/>
                <w:szCs w:val="20"/>
                <w:lang w:val="hr-HR"/>
              </w:rPr>
              <w:t xml:space="preserve"> pogranično područje</w:t>
            </w:r>
          </w:p>
          <w:p w14:paraId="294E666E" w14:textId="48F507F6" w:rsidR="00DA1E37" w:rsidRPr="0086186A" w:rsidRDefault="00DA1E37" w:rsidP="00D8786F">
            <w:pPr>
              <w:pStyle w:val="SorkznlklCESCI20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lang w:val="hr-HR"/>
              </w:rPr>
            </w:pPr>
          </w:p>
        </w:tc>
        <w:tc>
          <w:tcPr>
            <w:tcW w:w="6691" w:type="dxa"/>
            <w:gridSpan w:val="2"/>
            <w:vAlign w:val="top"/>
          </w:tcPr>
          <w:p w14:paraId="18E1AFC0" w14:textId="06756574" w:rsidR="00DA1E37" w:rsidRPr="0086186A" w:rsidRDefault="00990876"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lang w:val="hr-HR"/>
              </w:rPr>
            </w:pPr>
            <w:r w:rsidRPr="0086186A">
              <w:rPr>
                <w:rFonts w:ascii="Times New Roman" w:hAnsi="Times New Roman" w:cs="Times New Roman"/>
                <w:i/>
                <w:sz w:val="20"/>
                <w:szCs w:val="20"/>
                <w:lang w:val="hr-HR"/>
              </w:rPr>
              <w:t xml:space="preserve">Zajedničke inicijative za </w:t>
            </w:r>
            <w:proofErr w:type="spellStart"/>
            <w:r w:rsidRPr="0086186A">
              <w:rPr>
                <w:rFonts w:ascii="Times New Roman" w:hAnsi="Times New Roman" w:cs="Times New Roman"/>
                <w:i/>
                <w:sz w:val="20"/>
                <w:szCs w:val="20"/>
                <w:lang w:val="hr-HR"/>
              </w:rPr>
              <w:t>niskougljično</w:t>
            </w:r>
            <w:proofErr w:type="spellEnd"/>
            <w:r w:rsidRPr="0086186A">
              <w:rPr>
                <w:rFonts w:ascii="Times New Roman" w:hAnsi="Times New Roman" w:cs="Times New Roman"/>
                <w:i/>
                <w:sz w:val="20"/>
                <w:szCs w:val="20"/>
                <w:lang w:val="hr-HR"/>
              </w:rPr>
              <w:t xml:space="preserve"> pogranično područje</w:t>
            </w:r>
          </w:p>
          <w:p w14:paraId="403783F9" w14:textId="77777777" w:rsidR="00E91CB7" w:rsidRPr="0086186A" w:rsidRDefault="00E91CB7"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lang w:val="hr-HR"/>
              </w:rPr>
            </w:pPr>
          </w:p>
          <w:p w14:paraId="44BE3E78" w14:textId="2F916E8A" w:rsidR="00B50CC7" w:rsidRPr="0086186A" w:rsidRDefault="00B50CC7"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r-HR"/>
              </w:rPr>
            </w:pPr>
            <w:r w:rsidRPr="0086186A">
              <w:rPr>
                <w:rFonts w:ascii="Times New Roman" w:hAnsi="Times New Roman" w:cs="Times New Roman"/>
                <w:sz w:val="20"/>
                <w:szCs w:val="20"/>
                <w:lang w:val="hr-HR"/>
              </w:rPr>
              <w:t>Udio kućanstava i poduzeća u ukupnoj potrošnji energije značajno raste zbog zastarjelog fonda zgrada i niske razine energetske svijesti. Dubinska adaptacija zgrada od visoke je važnosti za programsko područje, a naglašena je i u novoj strategiji EU-a kojom će se ojačati taj proces – val renovacije za Europu. Regija se oslanja uglavnom na fosilna goriva za grijanje i hlađenje, a stare tehnologije trebale bi biti adaptirane novim učinkovitim i obnovljivim sustavima na zgradi (zgrade gotovo nulte energije)</w:t>
            </w:r>
            <w:r w:rsidR="00CF2897" w:rsidRPr="0086186A">
              <w:rPr>
                <w:rFonts w:ascii="Times New Roman" w:hAnsi="Times New Roman" w:cs="Times New Roman"/>
                <w:sz w:val="20"/>
                <w:szCs w:val="20"/>
                <w:lang w:val="hr-HR"/>
              </w:rPr>
              <w:t xml:space="preserve">, u </w:t>
            </w:r>
            <w:r w:rsidR="000C138C" w:rsidRPr="0086186A">
              <w:rPr>
                <w:rFonts w:ascii="Times New Roman" w:hAnsi="Times New Roman" w:cs="Times New Roman"/>
                <w:sz w:val="20"/>
                <w:szCs w:val="20"/>
                <w:lang w:val="hr-HR"/>
              </w:rPr>
              <w:t>susjedstvu</w:t>
            </w:r>
            <w:r w:rsidR="00CF2897" w:rsidRPr="0086186A">
              <w:rPr>
                <w:rFonts w:ascii="Times New Roman" w:hAnsi="Times New Roman" w:cs="Times New Roman"/>
                <w:sz w:val="20"/>
                <w:szCs w:val="20"/>
                <w:lang w:val="hr-HR"/>
              </w:rPr>
              <w:t xml:space="preserve"> (susjedstva gotovo nulte energije) i na općinskoj razini (integracija obnovljivih izvora energije u centralizirane sustave grijanja, energetsko planiranje itd.). Na strani ponude uvezeni fosilni izvori još uvijek su u dominantnom položaju pa doprinose emisijama stakleničkih plinova i pogoršavaju ekološke uvjete, koji su najveće dobro pograničnog područja. Rast udjela obnovljivih izvora energije pozitivan je fenomen, no trebalo bi poduzeti daljnje korake</w:t>
            </w:r>
            <w:r w:rsidR="000C138C">
              <w:rPr>
                <w:rFonts w:ascii="Times New Roman" w:hAnsi="Times New Roman" w:cs="Times New Roman"/>
                <w:sz w:val="20"/>
                <w:szCs w:val="20"/>
                <w:lang w:val="hr-HR"/>
              </w:rPr>
              <w:t xml:space="preserve"> </w:t>
            </w:r>
            <w:r w:rsidR="00CF2897" w:rsidRPr="0086186A">
              <w:rPr>
                <w:rFonts w:ascii="Times New Roman" w:hAnsi="Times New Roman" w:cs="Times New Roman"/>
                <w:sz w:val="20"/>
                <w:szCs w:val="20"/>
                <w:lang w:val="hr-HR"/>
              </w:rPr>
              <w:t>u tom smjeru na temelju lokalnih potencijala za obnovljive izvore energije. U tom području energija iz biomase te solarna i geotermalna energija imaju stvarni potencijal koji se može iskoristiti kao temelj za buduće projekte.</w:t>
            </w:r>
          </w:p>
          <w:p w14:paraId="1B05DC05" w14:textId="4AD6661C" w:rsidR="00CF2897" w:rsidRPr="0086186A" w:rsidRDefault="00CF2897"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r-HR"/>
              </w:rPr>
            </w:pPr>
          </w:p>
          <w:p w14:paraId="1E182627" w14:textId="0649C96C" w:rsidR="00CF2897" w:rsidRPr="0086186A" w:rsidRDefault="00DE309C"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r-HR"/>
              </w:rPr>
            </w:pPr>
            <w:r w:rsidRPr="0086186A">
              <w:rPr>
                <w:rFonts w:ascii="Times New Roman" w:hAnsi="Times New Roman" w:cs="Times New Roman"/>
                <w:sz w:val="20"/>
                <w:szCs w:val="20"/>
                <w:lang w:val="hr-HR"/>
              </w:rPr>
              <w:t>Trebalo bi promicati s</w:t>
            </w:r>
            <w:r w:rsidR="00CF2897" w:rsidRPr="0086186A">
              <w:rPr>
                <w:rFonts w:ascii="Times New Roman" w:hAnsi="Times New Roman" w:cs="Times New Roman"/>
                <w:sz w:val="20"/>
                <w:szCs w:val="20"/>
                <w:lang w:val="hr-HR"/>
              </w:rPr>
              <w:t>uradnj</w:t>
            </w:r>
            <w:r w:rsidRPr="0086186A">
              <w:rPr>
                <w:rFonts w:ascii="Times New Roman" w:hAnsi="Times New Roman" w:cs="Times New Roman"/>
                <w:sz w:val="20"/>
                <w:szCs w:val="20"/>
                <w:lang w:val="hr-HR"/>
              </w:rPr>
              <w:t xml:space="preserve">u te razmjena znanja i iskustava u području energetske učinkovitosti fonda zgrada (javne i poslovne zgrade te kućanstva), uz promicanje obnovljivih izvora energije. Trebalo bi podržati inicijative koje </w:t>
            </w:r>
            <w:r w:rsidRPr="0086186A">
              <w:rPr>
                <w:rFonts w:ascii="Times New Roman" w:hAnsi="Times New Roman" w:cs="Times New Roman"/>
                <w:sz w:val="20"/>
                <w:szCs w:val="20"/>
                <w:lang w:val="hr-HR"/>
              </w:rPr>
              <w:lastRenderedPageBreak/>
              <w:t xml:space="preserve">doprinose podizanju svijesti o energiji te energetskom siromaštvu stanovništva i poduzeća. Suradničke aktivnosti mogu uključivati zajedničku teritorijalnu analizu za utvrđivanje i promicanje iskorištavanja lokalnih najboljih praksi, razradu smjernica za optimalne intervencije, osmišljavanje i provedbu zajedničkih </w:t>
            </w:r>
            <w:proofErr w:type="spellStart"/>
            <w:r w:rsidRPr="0086186A">
              <w:rPr>
                <w:rFonts w:ascii="Times New Roman" w:hAnsi="Times New Roman" w:cs="Times New Roman"/>
                <w:sz w:val="20"/>
                <w:szCs w:val="20"/>
                <w:lang w:val="hr-HR"/>
              </w:rPr>
              <w:t>niskougljičnih</w:t>
            </w:r>
            <w:proofErr w:type="spellEnd"/>
            <w:r w:rsidRPr="0086186A">
              <w:rPr>
                <w:rFonts w:ascii="Times New Roman" w:hAnsi="Times New Roman" w:cs="Times New Roman"/>
                <w:sz w:val="20"/>
                <w:szCs w:val="20"/>
                <w:lang w:val="hr-HR"/>
              </w:rPr>
              <w:t xml:space="preserve"> strategija i inovativnih inicijativa od prekogranične važnosti, iniciranje različitih aktivnosti za podizanje svijesti i kapitalizaciju te pripremu povezanih pilot-ulaganja u manjim razmjerima.</w:t>
            </w:r>
          </w:p>
          <w:p w14:paraId="3106C275" w14:textId="77777777" w:rsidR="00CF2897" w:rsidRPr="0086186A" w:rsidRDefault="00CF2897"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r-HR"/>
              </w:rPr>
            </w:pPr>
          </w:p>
          <w:p w14:paraId="44194C50" w14:textId="081AEDB0" w:rsidR="00DA1E37" w:rsidRPr="0086186A" w:rsidRDefault="00DE309C"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lang w:val="hr-HR"/>
              </w:rPr>
            </w:pPr>
            <w:r w:rsidRPr="0086186A">
              <w:rPr>
                <w:rFonts w:ascii="Times New Roman" w:hAnsi="Times New Roman" w:cs="Times New Roman"/>
                <w:sz w:val="20"/>
                <w:szCs w:val="20"/>
                <w:lang w:val="hr-HR"/>
              </w:rPr>
              <w:t>Bespovratna sredstva bit će omogućena za financiranje projekata na temelju ovog posebnog cilja jer se ne primjenjuje nijedan financijski instrument.</w:t>
            </w:r>
          </w:p>
        </w:tc>
      </w:tr>
      <w:tr w:rsidR="00DA1E37" w:rsidRPr="0086186A" w14:paraId="0C7DAD3C" w14:textId="77777777" w:rsidTr="0018543A">
        <w:tc>
          <w:tcPr>
            <w:cnfStyle w:val="001000000000" w:firstRow="0" w:lastRow="0" w:firstColumn="1" w:lastColumn="0" w:oddVBand="0" w:evenVBand="0" w:oddHBand="0" w:evenHBand="0" w:firstRowFirstColumn="0" w:firstRowLastColumn="0" w:lastRowFirstColumn="0" w:lastRowLastColumn="0"/>
            <w:tcW w:w="1810" w:type="dxa"/>
            <w:vAlign w:val="top"/>
          </w:tcPr>
          <w:p w14:paraId="7AD351AC" w14:textId="54BA039F" w:rsidR="00DA1E37" w:rsidRPr="0086186A" w:rsidRDefault="003C31E2" w:rsidP="00D8786F">
            <w:pPr>
              <w:pStyle w:val="TableParagraph"/>
              <w:rPr>
                <w:rFonts w:ascii="Times New Roman" w:hAnsi="Times New Roman" w:cs="Times New Roman"/>
                <w:sz w:val="20"/>
                <w:szCs w:val="20"/>
                <w:lang w:val="hr-HR"/>
              </w:rPr>
            </w:pPr>
            <w:r w:rsidRPr="0086186A">
              <w:rPr>
                <w:rFonts w:ascii="Times New Roman" w:hAnsi="Times New Roman" w:cs="Times New Roman"/>
                <w:sz w:val="20"/>
                <w:szCs w:val="20"/>
                <w:lang w:val="hr-HR"/>
              </w:rPr>
              <w:lastRenderedPageBreak/>
              <w:t xml:space="preserve">Cilj politike </w:t>
            </w:r>
            <w:r w:rsidR="00DA1E37" w:rsidRPr="0086186A">
              <w:rPr>
                <w:rFonts w:ascii="Times New Roman" w:hAnsi="Times New Roman" w:cs="Times New Roman"/>
                <w:sz w:val="20"/>
                <w:szCs w:val="20"/>
                <w:lang w:val="hr-HR"/>
              </w:rPr>
              <w:t xml:space="preserve">2 – </w:t>
            </w:r>
            <w:r w:rsidR="00DE309C" w:rsidRPr="0086186A">
              <w:rPr>
                <w:rFonts w:ascii="Times New Roman" w:hAnsi="Times New Roman" w:cs="Times New Roman"/>
                <w:sz w:val="20"/>
                <w:szCs w:val="20"/>
                <w:lang w:val="hr-HR"/>
              </w:rPr>
              <w:t>Zelenija Europa s niskom razinom emisija ugljika promicanjem prelaska na čistu i pravednu energiju zelenih i plavih ulaganja  kružnog gospodarstva prilagodbe klimatskim promjenama i upravljanja rizikom i njegova sprječavanja.</w:t>
            </w:r>
          </w:p>
          <w:p w14:paraId="7DA6C5EE" w14:textId="7F2E1ED6" w:rsidR="00DA1E37" w:rsidRPr="0086186A" w:rsidRDefault="00DA1E37" w:rsidP="00D8786F">
            <w:pPr>
              <w:pStyle w:val="SorkznlklCESCI2020"/>
              <w:jc w:val="both"/>
              <w:rPr>
                <w:rFonts w:ascii="Times New Roman" w:hAnsi="Times New Roman" w:cs="Times New Roman"/>
                <w:szCs w:val="20"/>
                <w:lang w:val="hr-HR"/>
              </w:rPr>
            </w:pPr>
          </w:p>
        </w:tc>
        <w:tc>
          <w:tcPr>
            <w:tcW w:w="3348" w:type="dxa"/>
            <w:vAlign w:val="top"/>
          </w:tcPr>
          <w:p w14:paraId="65E0B763" w14:textId="436EA5F2" w:rsidR="008A785D" w:rsidRPr="0086186A" w:rsidRDefault="008A785D" w:rsidP="00DE309C">
            <w:pPr>
              <w:spacing w:after="200" w:line="276" w:lineRule="auto"/>
              <w:ind w:left="357" w:hanging="357"/>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bCs/>
                <w:i/>
                <w:iCs/>
                <w:sz w:val="20"/>
                <w:szCs w:val="20"/>
                <w:lang w:val="hr-HR" w:eastAsia="en-GB"/>
              </w:rPr>
            </w:pPr>
            <w:r w:rsidRPr="0086186A">
              <w:rPr>
                <w:rFonts w:eastAsia="Times New Roman" w:cs="Times New Roman"/>
                <w:bCs/>
                <w:i/>
                <w:iCs/>
                <w:sz w:val="20"/>
                <w:szCs w:val="20"/>
                <w:lang w:val="hr-HR" w:eastAsia="en-GB"/>
              </w:rPr>
              <w:t>(iv)</w:t>
            </w:r>
            <w:r w:rsidRPr="0086186A">
              <w:rPr>
                <w:rFonts w:eastAsia="Times New Roman" w:cs="Times New Roman"/>
                <w:bCs/>
                <w:i/>
                <w:iCs/>
                <w:sz w:val="20"/>
                <w:szCs w:val="20"/>
                <w:lang w:val="hr-HR" w:eastAsia="en-GB"/>
              </w:rPr>
              <w:tab/>
            </w:r>
            <w:r w:rsidR="00DE309C" w:rsidRPr="0086186A">
              <w:rPr>
                <w:rFonts w:eastAsia="Times New Roman" w:cs="Times New Roman"/>
                <w:bCs/>
                <w:i/>
                <w:iCs/>
                <w:sz w:val="20"/>
                <w:szCs w:val="20"/>
                <w:lang w:val="hr-HR" w:eastAsia="en-GB"/>
              </w:rPr>
              <w:t>Promicanje prilagodbe klimatskim promjenama i sprečavanje rizika od katastrofa, otpornost, uzimanje u obzir pristupa temeljenih na ekosustavu</w:t>
            </w:r>
          </w:p>
          <w:p w14:paraId="02042EA1" w14:textId="251866DB" w:rsidR="00DA1E37" w:rsidRPr="0086186A" w:rsidRDefault="00DA1E37" w:rsidP="008A785D">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lang w:val="hr-HR"/>
              </w:rPr>
            </w:pPr>
          </w:p>
        </w:tc>
        <w:tc>
          <w:tcPr>
            <w:tcW w:w="2605" w:type="dxa"/>
            <w:vAlign w:val="top"/>
          </w:tcPr>
          <w:p w14:paraId="4C5D9E17" w14:textId="03F1B7DB" w:rsidR="00DA1E37" w:rsidRPr="0086186A" w:rsidRDefault="00DA1E37" w:rsidP="00D8786F">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2. </w:t>
            </w:r>
            <w:r w:rsidR="00DE309C" w:rsidRPr="0086186A">
              <w:rPr>
                <w:rFonts w:ascii="Times New Roman" w:hAnsi="Times New Roman" w:cs="Times New Roman"/>
                <w:sz w:val="20"/>
                <w:szCs w:val="20"/>
                <w:lang w:val="hr-HR"/>
              </w:rPr>
              <w:t xml:space="preserve">Zelenije i </w:t>
            </w:r>
            <w:proofErr w:type="spellStart"/>
            <w:r w:rsidR="00DE309C" w:rsidRPr="0086186A">
              <w:rPr>
                <w:rFonts w:ascii="Times New Roman" w:hAnsi="Times New Roman" w:cs="Times New Roman"/>
                <w:sz w:val="20"/>
                <w:szCs w:val="20"/>
                <w:lang w:val="hr-HR"/>
              </w:rPr>
              <w:t>niskougljično</w:t>
            </w:r>
            <w:proofErr w:type="spellEnd"/>
            <w:r w:rsidR="00DE309C" w:rsidRPr="0086186A">
              <w:rPr>
                <w:rFonts w:ascii="Times New Roman" w:hAnsi="Times New Roman" w:cs="Times New Roman"/>
                <w:sz w:val="20"/>
                <w:szCs w:val="20"/>
                <w:lang w:val="hr-HR"/>
              </w:rPr>
              <w:t xml:space="preserve"> pogranično područje</w:t>
            </w:r>
          </w:p>
          <w:p w14:paraId="757D9101" w14:textId="58EA191D" w:rsidR="00DA1E37" w:rsidRPr="0086186A" w:rsidRDefault="00DA1E37" w:rsidP="00D8786F">
            <w:pPr>
              <w:pStyle w:val="SorkznlklCESCI20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lang w:val="hr-HR"/>
              </w:rPr>
            </w:pPr>
          </w:p>
        </w:tc>
        <w:tc>
          <w:tcPr>
            <w:tcW w:w="6691" w:type="dxa"/>
            <w:gridSpan w:val="2"/>
            <w:vAlign w:val="top"/>
          </w:tcPr>
          <w:p w14:paraId="066915E1" w14:textId="3DC3107D" w:rsidR="00DA1E37" w:rsidRPr="0086186A" w:rsidRDefault="00DE309C"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lang w:val="hr-HR"/>
              </w:rPr>
            </w:pPr>
            <w:r w:rsidRPr="0086186A">
              <w:rPr>
                <w:rFonts w:ascii="Times New Roman" w:hAnsi="Times New Roman" w:cs="Times New Roman"/>
                <w:i/>
                <w:sz w:val="20"/>
                <w:szCs w:val="20"/>
                <w:lang w:val="hr-HR"/>
              </w:rPr>
              <w:t>Zaštita prirodnih dobara</w:t>
            </w:r>
          </w:p>
          <w:p w14:paraId="2CCEAF77" w14:textId="77777777" w:rsidR="00E91CB7" w:rsidRPr="0086186A" w:rsidRDefault="00E91CB7"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lang w:val="hr-HR"/>
              </w:rPr>
            </w:pPr>
          </w:p>
          <w:p w14:paraId="13D39A63" w14:textId="1EEE4EC5" w:rsidR="00DE309C" w:rsidRPr="0086186A" w:rsidRDefault="00496F6D"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Prirodne prednosti slične su na obje strane granice, što je najveće dobro programskog područja. </w:t>
            </w:r>
            <w:r w:rsidR="00156D78" w:rsidRPr="0086186A">
              <w:rPr>
                <w:rFonts w:ascii="Times New Roman" w:hAnsi="Times New Roman" w:cs="Times New Roman"/>
                <w:sz w:val="20"/>
                <w:szCs w:val="20"/>
                <w:lang w:val="hr-HR"/>
              </w:rPr>
              <w:t>Klimatske promjene vjerojatno će značajno utjecati na pogranično područje, što može dovesti do povišenja temperature i broja sušnih dana. To može imati negativan učinak na biološku raznolikost, kao i na izgrađenu okolinu i poljoprivredu. Iako je pogranično područje u relativno povoljnom položaju što se tiče ekološke kvalitete s obzirom na zaštićena područja (</w:t>
            </w:r>
            <w:r w:rsidR="00224245" w:rsidRPr="0086186A">
              <w:rPr>
                <w:rFonts w:ascii="Times New Roman" w:hAnsi="Times New Roman" w:cs="Times New Roman"/>
                <w:sz w:val="20"/>
                <w:szCs w:val="20"/>
                <w:lang w:val="hr-HR"/>
              </w:rPr>
              <w:t>Prekogranični rezervat biosfere Mura-Drava-Dunav koji je zaštitio UNESCO), s time treba postupati kao dobrom koje treba očuvati kako bi se ublažio utjecaj klimatskih promjena.</w:t>
            </w:r>
          </w:p>
          <w:p w14:paraId="3750A107" w14:textId="2B3E4BA2" w:rsidR="00224245" w:rsidRPr="0086186A" w:rsidRDefault="00224245"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r-HR"/>
              </w:rPr>
            </w:pPr>
          </w:p>
          <w:p w14:paraId="0FE84146" w14:textId="07CB91FA" w:rsidR="00224245" w:rsidRPr="0086186A" w:rsidRDefault="00224245"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Također bi trebalo podržati suradnju u projektima zelene i plave uporabe zemljišta, unapređenje statusa vodenih tijela, zaštita okoliša i prirode, </w:t>
            </w:r>
            <w:proofErr w:type="spellStart"/>
            <w:r w:rsidRPr="0086186A">
              <w:rPr>
                <w:rFonts w:ascii="Times New Roman" w:hAnsi="Times New Roman" w:cs="Times New Roman"/>
                <w:sz w:val="20"/>
                <w:szCs w:val="20"/>
                <w:lang w:val="hr-HR"/>
              </w:rPr>
              <w:t>povezivost</w:t>
            </w:r>
            <w:proofErr w:type="spellEnd"/>
            <w:r w:rsidRPr="0086186A">
              <w:rPr>
                <w:rFonts w:ascii="Times New Roman" w:hAnsi="Times New Roman" w:cs="Times New Roman"/>
                <w:sz w:val="20"/>
                <w:szCs w:val="20"/>
                <w:lang w:val="hr-HR"/>
              </w:rPr>
              <w:t xml:space="preserve"> staništa, obnovu prirodnih staništa (močvare, riječne krivine, upravljanje invazivnim vrstama), primjenu prirodnih rješenja i prirodne mjere zadržavanja vode. Ujedno bi trebalo podržati zajednički razvijena djelovanja s </w:t>
            </w:r>
            <w:r w:rsidR="000C138C" w:rsidRPr="0086186A">
              <w:rPr>
                <w:rFonts w:ascii="Times New Roman" w:hAnsi="Times New Roman" w:cs="Times New Roman"/>
                <w:sz w:val="20"/>
                <w:szCs w:val="20"/>
                <w:lang w:val="hr-HR"/>
              </w:rPr>
              <w:t>ciljem</w:t>
            </w:r>
            <w:r w:rsidRPr="0086186A">
              <w:rPr>
                <w:rFonts w:ascii="Times New Roman" w:hAnsi="Times New Roman" w:cs="Times New Roman"/>
                <w:sz w:val="20"/>
                <w:szCs w:val="20"/>
                <w:lang w:val="hr-HR"/>
              </w:rPr>
              <w:t xml:space="preserve"> razumijevanja budućeg učinka intervencija za zaštitu od poplave (ispitivanje ekološkog statusa, </w:t>
            </w:r>
            <w:r w:rsidR="000C138C" w:rsidRPr="0086186A">
              <w:rPr>
                <w:rFonts w:ascii="Times New Roman" w:hAnsi="Times New Roman" w:cs="Times New Roman"/>
                <w:sz w:val="20"/>
                <w:szCs w:val="20"/>
                <w:lang w:val="hr-HR"/>
              </w:rPr>
              <w:t>istraživanja</w:t>
            </w:r>
            <w:r w:rsidRPr="0086186A">
              <w:rPr>
                <w:rFonts w:ascii="Times New Roman" w:hAnsi="Times New Roman" w:cs="Times New Roman"/>
                <w:sz w:val="20"/>
                <w:szCs w:val="20"/>
                <w:lang w:val="hr-HR"/>
              </w:rPr>
              <w:t>, planovi i procjena utjecaja na okoliš), kao i provedbu intervencija za ublažavanje utjecaja klimatskih promjena.</w:t>
            </w:r>
          </w:p>
          <w:p w14:paraId="34020B0A" w14:textId="4D6E41D8" w:rsidR="00224245" w:rsidRPr="0086186A" w:rsidRDefault="00224245"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r-HR"/>
              </w:rPr>
            </w:pPr>
          </w:p>
          <w:p w14:paraId="19E0D2B0" w14:textId="27ABE35C" w:rsidR="00224245" w:rsidRPr="0086186A" w:rsidRDefault="00224245"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r-HR"/>
              </w:rPr>
            </w:pPr>
            <w:r w:rsidRPr="0086186A">
              <w:rPr>
                <w:rFonts w:ascii="Times New Roman" w:hAnsi="Times New Roman" w:cs="Times New Roman"/>
                <w:sz w:val="20"/>
                <w:szCs w:val="20"/>
                <w:lang w:val="hr-HR"/>
              </w:rPr>
              <w:t>Osim projekata povezanih s ulaganja, trebalo bi podržati</w:t>
            </w:r>
            <w:r w:rsidR="000C138C">
              <w:rPr>
                <w:rFonts w:ascii="Times New Roman" w:hAnsi="Times New Roman" w:cs="Times New Roman"/>
                <w:sz w:val="20"/>
                <w:szCs w:val="20"/>
                <w:lang w:val="hr-HR"/>
              </w:rPr>
              <w:t xml:space="preserve"> </w:t>
            </w:r>
            <w:r w:rsidRPr="0086186A">
              <w:rPr>
                <w:rFonts w:ascii="Times New Roman" w:hAnsi="Times New Roman" w:cs="Times New Roman"/>
                <w:sz w:val="20"/>
                <w:szCs w:val="20"/>
                <w:lang w:val="hr-HR"/>
              </w:rPr>
              <w:t xml:space="preserve">i suradničke inicijative za pripremu zajedničkih održivih akcijskih planova za energiju i klimatsko </w:t>
            </w:r>
            <w:r w:rsidRPr="0086186A">
              <w:rPr>
                <w:rFonts w:ascii="Times New Roman" w:hAnsi="Times New Roman" w:cs="Times New Roman"/>
                <w:sz w:val="20"/>
                <w:szCs w:val="20"/>
                <w:lang w:val="hr-HR"/>
              </w:rPr>
              <w:lastRenderedPageBreak/>
              <w:t>djelovanje, razmjene u pogledu biološke raznolikosti, ublažavanje klimatskih promjena, upravljanje katastrofama i podizanje svijesti o ekološkim pitanjima (čiste tehnologije, kružno gospodarstvo u području gospodarenja otpadom, biološka raznolikost, smanjenje onečišćenja).</w:t>
            </w:r>
          </w:p>
          <w:p w14:paraId="3A0572D4" w14:textId="77777777" w:rsidR="00DE309C" w:rsidRPr="0086186A" w:rsidRDefault="00DE309C"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r-HR"/>
              </w:rPr>
            </w:pPr>
          </w:p>
          <w:p w14:paraId="3979B0BA" w14:textId="1042EBB4" w:rsidR="00DA1E37" w:rsidRPr="0086186A" w:rsidRDefault="00224245"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lang w:val="hr-HR"/>
              </w:rPr>
            </w:pPr>
            <w:r w:rsidRPr="0086186A">
              <w:rPr>
                <w:rFonts w:ascii="Times New Roman" w:hAnsi="Times New Roman" w:cs="Times New Roman"/>
                <w:sz w:val="20"/>
                <w:szCs w:val="20"/>
                <w:lang w:val="hr-HR"/>
              </w:rPr>
              <w:t>Bespovratna sredstva bit će omogućena za financiranje projekata na temelju ovog posebnog cilja jer se ne primjenjuje nijedan financijski instrument.</w:t>
            </w:r>
          </w:p>
        </w:tc>
      </w:tr>
      <w:tr w:rsidR="00DA1E37" w:rsidRPr="0086186A" w14:paraId="25046108" w14:textId="77777777" w:rsidTr="0018543A">
        <w:tc>
          <w:tcPr>
            <w:cnfStyle w:val="001000000000" w:firstRow="0" w:lastRow="0" w:firstColumn="1" w:lastColumn="0" w:oddVBand="0" w:evenVBand="0" w:oddHBand="0" w:evenHBand="0" w:firstRowFirstColumn="0" w:firstRowLastColumn="0" w:lastRowFirstColumn="0" w:lastRowLastColumn="0"/>
            <w:tcW w:w="1810" w:type="dxa"/>
            <w:vAlign w:val="top"/>
          </w:tcPr>
          <w:p w14:paraId="1584AA28" w14:textId="480DDBD2" w:rsidR="00DA1E37" w:rsidRPr="0086186A" w:rsidRDefault="003C31E2" w:rsidP="00D8786F">
            <w:pPr>
              <w:pStyle w:val="TableParagraph"/>
              <w:rPr>
                <w:rFonts w:ascii="Times New Roman" w:hAnsi="Times New Roman" w:cs="Times New Roman"/>
                <w:sz w:val="20"/>
                <w:szCs w:val="20"/>
                <w:lang w:val="hr-HR"/>
              </w:rPr>
            </w:pPr>
            <w:r w:rsidRPr="0086186A">
              <w:rPr>
                <w:rFonts w:ascii="Times New Roman" w:hAnsi="Times New Roman" w:cs="Times New Roman"/>
                <w:sz w:val="20"/>
                <w:szCs w:val="20"/>
                <w:lang w:val="hr-HR"/>
              </w:rPr>
              <w:lastRenderedPageBreak/>
              <w:t xml:space="preserve">Cilj politike </w:t>
            </w:r>
            <w:r w:rsidR="00DA1E37" w:rsidRPr="0086186A">
              <w:rPr>
                <w:rFonts w:ascii="Times New Roman" w:hAnsi="Times New Roman" w:cs="Times New Roman"/>
                <w:sz w:val="20"/>
                <w:szCs w:val="20"/>
                <w:lang w:val="hr-HR"/>
              </w:rPr>
              <w:t xml:space="preserve">4 – </w:t>
            </w:r>
            <w:proofErr w:type="spellStart"/>
            <w:r w:rsidR="006F72B9" w:rsidRPr="0086186A">
              <w:rPr>
                <w:rFonts w:ascii="Times New Roman" w:hAnsi="Times New Roman" w:cs="Times New Roman"/>
                <w:sz w:val="20"/>
                <w:szCs w:val="20"/>
                <w:lang w:val="hr-HR"/>
              </w:rPr>
              <w:t>Uključivija</w:t>
            </w:r>
            <w:proofErr w:type="spellEnd"/>
            <w:r w:rsidR="006F72B9" w:rsidRPr="0086186A">
              <w:rPr>
                <w:rFonts w:ascii="Times New Roman" w:hAnsi="Times New Roman" w:cs="Times New Roman"/>
                <w:sz w:val="20"/>
                <w:szCs w:val="20"/>
                <w:lang w:val="hr-HR"/>
              </w:rPr>
              <w:t xml:space="preserve"> Europa s istaknutijom socijalnom komponentom provedbom europskog stupa socijalnih prava</w:t>
            </w:r>
          </w:p>
          <w:p w14:paraId="4C6B8C38" w14:textId="2CC10C6A" w:rsidR="00DA1E37" w:rsidRPr="0086186A" w:rsidRDefault="00DA1E37" w:rsidP="00D8786F">
            <w:pPr>
              <w:pStyle w:val="SorkznlklCESCI2020"/>
              <w:jc w:val="both"/>
              <w:rPr>
                <w:rFonts w:ascii="Times New Roman" w:hAnsi="Times New Roman" w:cs="Times New Roman"/>
                <w:szCs w:val="20"/>
                <w:lang w:val="hr-HR"/>
              </w:rPr>
            </w:pPr>
          </w:p>
        </w:tc>
        <w:tc>
          <w:tcPr>
            <w:tcW w:w="3348" w:type="dxa"/>
            <w:vAlign w:val="top"/>
          </w:tcPr>
          <w:p w14:paraId="4FB760A9" w14:textId="369E3427" w:rsidR="00DA1E37" w:rsidRPr="0086186A" w:rsidRDefault="00DA1E37" w:rsidP="008F109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(vi) </w:t>
            </w:r>
            <w:r w:rsidR="008F1093" w:rsidRPr="0086186A">
              <w:rPr>
                <w:rFonts w:ascii="Times New Roman" w:hAnsi="Times New Roman" w:cs="Times New Roman"/>
                <w:sz w:val="20"/>
                <w:szCs w:val="20"/>
                <w:lang w:val="hr-HR"/>
              </w:rPr>
              <w:t>Jačanje uloge kulture i održivog turizma u gospodarskom razvoju, socijalna uključenost i socijalne inovacije</w:t>
            </w:r>
          </w:p>
          <w:p w14:paraId="54EF2DBD" w14:textId="4316BBA4" w:rsidR="00DA1E37" w:rsidRPr="0086186A" w:rsidRDefault="00DA1E37" w:rsidP="00D8786F">
            <w:pPr>
              <w:pStyle w:val="SorkznlklCESCI20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lang w:val="hr-HR"/>
              </w:rPr>
            </w:pPr>
          </w:p>
        </w:tc>
        <w:tc>
          <w:tcPr>
            <w:tcW w:w="2605" w:type="dxa"/>
            <w:vAlign w:val="top"/>
          </w:tcPr>
          <w:p w14:paraId="3EEF00C4" w14:textId="10C0F471" w:rsidR="00DA1E37" w:rsidRPr="0086186A" w:rsidRDefault="008F1093" w:rsidP="00D8786F">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r-HR"/>
              </w:rPr>
            </w:pPr>
            <w:r w:rsidRPr="0086186A">
              <w:rPr>
                <w:rFonts w:ascii="Times New Roman" w:hAnsi="Times New Roman" w:cs="Times New Roman"/>
                <w:sz w:val="20"/>
                <w:szCs w:val="20"/>
                <w:lang w:val="hr-HR"/>
              </w:rPr>
              <w:t>3. Uključivo pogranično područje</w:t>
            </w:r>
          </w:p>
          <w:p w14:paraId="76BA8CFD" w14:textId="5A296ACD" w:rsidR="00DA1E37" w:rsidRPr="0086186A" w:rsidRDefault="00DA1E37" w:rsidP="00D8786F">
            <w:pPr>
              <w:pStyle w:val="SorkznlklCESCI20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lang w:val="hr-HR"/>
              </w:rPr>
            </w:pPr>
          </w:p>
        </w:tc>
        <w:tc>
          <w:tcPr>
            <w:tcW w:w="6691" w:type="dxa"/>
            <w:gridSpan w:val="2"/>
            <w:vAlign w:val="top"/>
          </w:tcPr>
          <w:p w14:paraId="6E04B402" w14:textId="5C3960AE" w:rsidR="00DA1E37" w:rsidRPr="0086186A" w:rsidRDefault="00224245" w:rsidP="00224245">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lang w:val="hr-HR"/>
              </w:rPr>
            </w:pPr>
            <w:r w:rsidRPr="0086186A">
              <w:rPr>
                <w:rFonts w:ascii="Times New Roman" w:hAnsi="Times New Roman" w:cs="Times New Roman"/>
                <w:i/>
                <w:sz w:val="20"/>
                <w:szCs w:val="20"/>
                <w:lang w:val="hr-HR"/>
              </w:rPr>
              <w:t>Razvoj održivog prirodnog i kulturnog turizma od međunarodnog značaja</w:t>
            </w:r>
          </w:p>
          <w:p w14:paraId="2EC3BDA4" w14:textId="088C30B2" w:rsidR="00E91CB7" w:rsidRPr="0086186A" w:rsidRDefault="00E91CB7"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lang w:val="hr-HR"/>
              </w:rPr>
            </w:pPr>
          </w:p>
          <w:p w14:paraId="0534E234" w14:textId="43FEE2DD" w:rsidR="008F1093" w:rsidRPr="0086186A" w:rsidRDefault="008F1093"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r-HR"/>
              </w:rPr>
            </w:pPr>
            <w:r w:rsidRPr="0086186A">
              <w:rPr>
                <w:rFonts w:ascii="Times New Roman" w:hAnsi="Times New Roman" w:cs="Times New Roman"/>
                <w:iCs/>
                <w:sz w:val="20"/>
                <w:szCs w:val="20"/>
                <w:lang w:val="hr-HR"/>
              </w:rPr>
              <w:t>Obilje prirodnih</w:t>
            </w:r>
            <w:r w:rsidR="00224245" w:rsidRPr="0086186A">
              <w:rPr>
                <w:rFonts w:ascii="Times New Roman" w:hAnsi="Times New Roman" w:cs="Times New Roman"/>
                <w:iCs/>
                <w:sz w:val="20"/>
                <w:szCs w:val="20"/>
                <w:lang w:val="hr-HR"/>
              </w:rPr>
              <w:t xml:space="preserve"> i kulturnih vrijednosti predstavlja dobro za lokalni razvoj u području turizma.</w:t>
            </w:r>
            <w:r w:rsidR="00224245" w:rsidRPr="0086186A">
              <w:rPr>
                <w:rFonts w:ascii="Times New Roman" w:hAnsi="Times New Roman" w:cs="Times New Roman"/>
                <w:sz w:val="20"/>
                <w:szCs w:val="20"/>
                <w:lang w:val="hr-HR"/>
              </w:rPr>
              <w:t xml:space="preserve"> Prekogranični rezervat biosfere Mura-Drava-Dunav koji je zaštitio UNESCO, jedino zaštićeno područje na svijetu koje se proteže na pet država, nalazi se uglavnom na pograničnom pod</w:t>
            </w:r>
            <w:r w:rsidR="004D5889" w:rsidRPr="0086186A">
              <w:rPr>
                <w:rFonts w:ascii="Times New Roman" w:hAnsi="Times New Roman" w:cs="Times New Roman"/>
                <w:sz w:val="20"/>
                <w:szCs w:val="20"/>
                <w:lang w:val="hr-HR"/>
              </w:rPr>
              <w:t>r</w:t>
            </w:r>
            <w:r w:rsidR="00224245" w:rsidRPr="0086186A">
              <w:rPr>
                <w:rFonts w:ascii="Times New Roman" w:hAnsi="Times New Roman" w:cs="Times New Roman"/>
                <w:sz w:val="20"/>
                <w:szCs w:val="20"/>
                <w:lang w:val="hr-HR"/>
              </w:rPr>
              <w:t>učju.</w:t>
            </w:r>
            <w:r w:rsidR="004813AB" w:rsidRPr="0086186A">
              <w:rPr>
                <w:rFonts w:ascii="Times New Roman" w:hAnsi="Times New Roman" w:cs="Times New Roman"/>
                <w:sz w:val="20"/>
                <w:szCs w:val="20"/>
                <w:lang w:val="hr-HR"/>
              </w:rPr>
              <w:t xml:space="preserve"> Poseban je element kulturne baštine regije ispreplitanje različitih kultura bogatih etnografskim, gastronomskim i vinogradarskim dobrima. Iako je u turizmu pograničnog područja pokazao prije 2020. bio vidljiv pozitivan trend, većina noćenja bila je koncentrirana u područjima orijentiranima prema turizmu </w:t>
            </w:r>
            <w:r w:rsidR="00D03BC3" w:rsidRPr="0086186A">
              <w:rPr>
                <w:rFonts w:ascii="Times New Roman" w:hAnsi="Times New Roman" w:cs="Times New Roman"/>
                <w:sz w:val="20"/>
                <w:szCs w:val="20"/>
                <w:lang w:val="hr-HR"/>
              </w:rPr>
              <w:t>s ponudom smještajnih kapaciteta i atraktivnih usluga.</w:t>
            </w:r>
          </w:p>
          <w:p w14:paraId="24521473" w14:textId="7BE74349" w:rsidR="00F93CA2" w:rsidRPr="0086186A" w:rsidRDefault="00F93CA2"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r-HR"/>
              </w:rPr>
            </w:pPr>
          </w:p>
          <w:p w14:paraId="720D3A9B" w14:textId="6986149D" w:rsidR="00F93CA2" w:rsidRPr="0086186A" w:rsidRDefault="00F93CA2"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r-HR"/>
              </w:rPr>
            </w:pPr>
            <w:r w:rsidRPr="0086186A">
              <w:rPr>
                <w:rFonts w:ascii="Times New Roman" w:hAnsi="Times New Roman" w:cs="Times New Roman"/>
                <w:sz w:val="20"/>
                <w:szCs w:val="20"/>
                <w:lang w:val="hr-HR"/>
              </w:rPr>
              <w:t>Zbog fenomena „prekomjernog turizma“ u destinacijama „bliskima prirodi“ u kojima je manja gužva postat će atraktivnije. Tu je tendenciju ojačala pandemija COVID-19. U skladu s tim trendovima, trebalo bi razviti turističku infrastrukturu i usluge na koordiniran način uz poštovanje aspekta očuvanja prirode na temelju lokalne prirodne i kulturne baštine, fokus na razvoj i promicanje turističkih atrakcija, zelenu mobilnost (</w:t>
            </w:r>
            <w:r w:rsidR="000C138C">
              <w:rPr>
                <w:rFonts w:ascii="Times New Roman" w:hAnsi="Times New Roman" w:cs="Times New Roman"/>
                <w:sz w:val="20"/>
                <w:szCs w:val="20"/>
                <w:lang w:val="hr-HR"/>
              </w:rPr>
              <w:t>vožnja biciklom</w:t>
            </w:r>
            <w:r w:rsidRPr="0086186A">
              <w:rPr>
                <w:rFonts w:ascii="Times New Roman" w:hAnsi="Times New Roman" w:cs="Times New Roman"/>
                <w:sz w:val="20"/>
                <w:szCs w:val="20"/>
                <w:lang w:val="hr-HR"/>
              </w:rPr>
              <w:t xml:space="preserve">, </w:t>
            </w:r>
            <w:r w:rsidR="000C138C" w:rsidRPr="0086186A">
              <w:rPr>
                <w:rFonts w:ascii="Times New Roman" w:hAnsi="Times New Roman" w:cs="Times New Roman"/>
                <w:sz w:val="20"/>
                <w:szCs w:val="20"/>
                <w:lang w:val="hr-HR"/>
              </w:rPr>
              <w:t>planinarenje</w:t>
            </w:r>
            <w:r w:rsidRPr="0086186A">
              <w:rPr>
                <w:rFonts w:ascii="Times New Roman" w:hAnsi="Times New Roman" w:cs="Times New Roman"/>
                <w:sz w:val="20"/>
                <w:szCs w:val="20"/>
                <w:lang w:val="hr-HR"/>
              </w:rPr>
              <w:t xml:space="preserve">, plovidba kajakom ili kanuom), unapređenje fizičke povezanosti turističkih atrakcija, razvoj aktivne i sportske infrastrukture povezane s turizmom te infrastrukture povezane s kulturnim turizmom te daljnje jačanje postojećih brandova u razvoju (Prekogranični rezervat biosfere Mura-Drava-Dunav koji je zaštitio UNESCO, </w:t>
            </w:r>
            <w:proofErr w:type="spellStart"/>
            <w:r w:rsidRPr="0086186A">
              <w:rPr>
                <w:rFonts w:ascii="Times New Roman" w:hAnsi="Times New Roman" w:cs="Times New Roman"/>
                <w:sz w:val="20"/>
                <w:szCs w:val="20"/>
                <w:lang w:val="hr-HR"/>
              </w:rPr>
              <w:t>EuroVelo</w:t>
            </w:r>
            <w:proofErr w:type="spellEnd"/>
            <w:r w:rsidRPr="0086186A">
              <w:rPr>
                <w:rFonts w:ascii="Times New Roman" w:hAnsi="Times New Roman" w:cs="Times New Roman"/>
                <w:sz w:val="20"/>
                <w:szCs w:val="20"/>
                <w:lang w:val="hr-HR"/>
              </w:rPr>
              <w:t xml:space="preserve"> 13, Amazona Europe) radi razvoja jedinstvenih i konkurentnih turističkih proizvoda. Time se ostvaruje dohodak za lokalno stanovništvo, što doprinosi njihovoj socijalnoj uključenosti i jača lokalno gospodarstvo.</w:t>
            </w:r>
          </w:p>
          <w:p w14:paraId="0983EC14" w14:textId="5D1CEA82" w:rsidR="00DA1E37" w:rsidRPr="0086186A" w:rsidRDefault="00F93CA2" w:rsidP="00F93CA2">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r-HR"/>
              </w:rPr>
            </w:pPr>
            <w:r w:rsidRPr="0086186A">
              <w:rPr>
                <w:rFonts w:ascii="Times New Roman" w:hAnsi="Times New Roman" w:cs="Times New Roman"/>
                <w:sz w:val="20"/>
                <w:szCs w:val="20"/>
                <w:lang w:val="hr-HR"/>
              </w:rPr>
              <w:lastRenderedPageBreak/>
              <w:t>Bespovratna sredstva bit će omogućena za financiranje projekata na temelju ovog posebnog cilja jer se ne primjenjuje nijedan financijski instrument.</w:t>
            </w:r>
          </w:p>
        </w:tc>
      </w:tr>
      <w:tr w:rsidR="00DA1E37" w:rsidRPr="0086186A" w14:paraId="664827EF" w14:textId="77777777" w:rsidTr="0018543A">
        <w:tc>
          <w:tcPr>
            <w:cnfStyle w:val="001000000000" w:firstRow="0" w:lastRow="0" w:firstColumn="1" w:lastColumn="0" w:oddVBand="0" w:evenVBand="0" w:oddHBand="0" w:evenHBand="0" w:firstRowFirstColumn="0" w:firstRowLastColumn="0" w:lastRowFirstColumn="0" w:lastRowLastColumn="0"/>
            <w:tcW w:w="1810" w:type="dxa"/>
            <w:vAlign w:val="top"/>
          </w:tcPr>
          <w:p w14:paraId="340B385D" w14:textId="2EBBF7A4" w:rsidR="00DA1E37" w:rsidRPr="0086186A" w:rsidRDefault="003C31E2" w:rsidP="006F72B9">
            <w:pPr>
              <w:pStyle w:val="SorkznlklCESCI2020"/>
              <w:rPr>
                <w:rFonts w:ascii="Times New Roman" w:hAnsi="Times New Roman" w:cs="Times New Roman"/>
                <w:szCs w:val="20"/>
                <w:lang w:val="hr-HR"/>
              </w:rPr>
            </w:pPr>
            <w:r w:rsidRPr="0086186A">
              <w:rPr>
                <w:rFonts w:ascii="Times New Roman" w:hAnsi="Times New Roman" w:cs="Times New Roman"/>
                <w:szCs w:val="20"/>
                <w:lang w:val="hr-HR"/>
              </w:rPr>
              <w:lastRenderedPageBreak/>
              <w:t xml:space="preserve">Cilj politike </w:t>
            </w:r>
            <w:r w:rsidR="00DA1E37" w:rsidRPr="0086186A">
              <w:rPr>
                <w:rFonts w:ascii="Times New Roman" w:hAnsi="Times New Roman" w:cs="Times New Roman"/>
                <w:szCs w:val="20"/>
                <w:lang w:val="hr-HR"/>
              </w:rPr>
              <w:t xml:space="preserve">4 – </w:t>
            </w:r>
            <w:proofErr w:type="spellStart"/>
            <w:r w:rsidR="006F72B9" w:rsidRPr="0086186A">
              <w:rPr>
                <w:rFonts w:ascii="Times New Roman" w:hAnsi="Times New Roman" w:cs="Times New Roman"/>
                <w:szCs w:val="20"/>
                <w:lang w:val="hr-HR"/>
              </w:rPr>
              <w:t>Uključivija</w:t>
            </w:r>
            <w:proofErr w:type="spellEnd"/>
            <w:r w:rsidR="006F72B9" w:rsidRPr="0086186A">
              <w:rPr>
                <w:rFonts w:ascii="Times New Roman" w:hAnsi="Times New Roman" w:cs="Times New Roman"/>
                <w:szCs w:val="20"/>
                <w:lang w:val="hr-HR"/>
              </w:rPr>
              <w:t xml:space="preserve"> Europa s istaknutijom socijalnom komponentom provedbom europskog stupa socijalnih prava</w:t>
            </w:r>
            <w:r w:rsidR="00496F6D" w:rsidRPr="0086186A">
              <w:rPr>
                <w:rFonts w:ascii="Times New Roman" w:hAnsi="Times New Roman" w:cs="Times New Roman"/>
                <w:szCs w:val="20"/>
                <w:lang w:val="hr-HR"/>
              </w:rPr>
              <w:t xml:space="preserve"> </w:t>
            </w:r>
          </w:p>
        </w:tc>
        <w:tc>
          <w:tcPr>
            <w:tcW w:w="3348" w:type="dxa"/>
            <w:vAlign w:val="top"/>
          </w:tcPr>
          <w:p w14:paraId="2D7E1410" w14:textId="00C4879F" w:rsidR="00DA1E37" w:rsidRPr="0086186A" w:rsidRDefault="00DA1E37" w:rsidP="00496F6D">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lang w:val="hr-HR"/>
              </w:rPr>
            </w:pPr>
            <w:r w:rsidRPr="0086186A">
              <w:rPr>
                <w:rFonts w:ascii="Times New Roman" w:hAnsi="Times New Roman" w:cs="Times New Roman"/>
                <w:i/>
                <w:sz w:val="20"/>
                <w:szCs w:val="20"/>
                <w:lang w:val="hr-HR"/>
              </w:rPr>
              <w:t xml:space="preserve">(ii) </w:t>
            </w:r>
            <w:r w:rsidR="00496F6D" w:rsidRPr="0086186A">
              <w:rPr>
                <w:rFonts w:ascii="Times New Roman" w:hAnsi="Times New Roman" w:cs="Times New Roman"/>
                <w:i/>
                <w:sz w:val="20"/>
                <w:szCs w:val="20"/>
                <w:lang w:val="hr-HR"/>
              </w:rPr>
              <w:t xml:space="preserve">Unapređenje pristupa </w:t>
            </w:r>
            <w:proofErr w:type="spellStart"/>
            <w:r w:rsidR="00496F6D" w:rsidRPr="0086186A">
              <w:rPr>
                <w:rFonts w:ascii="Times New Roman" w:hAnsi="Times New Roman" w:cs="Times New Roman"/>
                <w:i/>
                <w:sz w:val="20"/>
                <w:szCs w:val="20"/>
                <w:lang w:val="hr-HR"/>
              </w:rPr>
              <w:t>uključivim</w:t>
            </w:r>
            <w:proofErr w:type="spellEnd"/>
            <w:r w:rsidR="00496F6D" w:rsidRPr="0086186A">
              <w:rPr>
                <w:rFonts w:ascii="Times New Roman" w:hAnsi="Times New Roman" w:cs="Times New Roman"/>
                <w:i/>
                <w:sz w:val="20"/>
                <w:szCs w:val="20"/>
                <w:lang w:val="hr-HR"/>
              </w:rPr>
              <w:t xml:space="preserve"> i kvalitetnim uslugama u obrazovanju, osposobljavanju i cjeloživotnom </w:t>
            </w:r>
            <w:r w:rsidR="00840CED" w:rsidRPr="0086186A">
              <w:rPr>
                <w:rFonts w:ascii="Times New Roman" w:hAnsi="Times New Roman" w:cs="Times New Roman"/>
                <w:i/>
                <w:sz w:val="20"/>
                <w:szCs w:val="20"/>
                <w:lang w:val="hr-HR"/>
              </w:rPr>
              <w:t>učenju</w:t>
            </w:r>
            <w:r w:rsidR="00496F6D" w:rsidRPr="0086186A">
              <w:rPr>
                <w:rFonts w:ascii="Times New Roman" w:hAnsi="Times New Roman" w:cs="Times New Roman"/>
                <w:i/>
                <w:sz w:val="20"/>
                <w:szCs w:val="20"/>
                <w:lang w:val="hr-HR"/>
              </w:rPr>
              <w:t xml:space="preserve"> kroz razvoj pristupačne infrastrukture, uključujući poticanjem otpornosti za učenje i osposobljavanje na daljinu i na internetu</w:t>
            </w:r>
          </w:p>
        </w:tc>
        <w:tc>
          <w:tcPr>
            <w:tcW w:w="2605" w:type="dxa"/>
            <w:vAlign w:val="top"/>
          </w:tcPr>
          <w:p w14:paraId="5F241456" w14:textId="5A4F7CD4" w:rsidR="00DA1E37" w:rsidRPr="0086186A" w:rsidRDefault="00496F6D" w:rsidP="00D8786F">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r-HR"/>
              </w:rPr>
            </w:pPr>
            <w:r w:rsidRPr="0086186A">
              <w:rPr>
                <w:rFonts w:ascii="Times New Roman" w:hAnsi="Times New Roman" w:cs="Times New Roman"/>
                <w:sz w:val="20"/>
                <w:szCs w:val="20"/>
                <w:lang w:val="hr-HR"/>
              </w:rPr>
              <w:t>3. Uključivo pogranično područje</w:t>
            </w:r>
          </w:p>
          <w:p w14:paraId="58D48034" w14:textId="394F0683" w:rsidR="00DA1E37" w:rsidRPr="0086186A" w:rsidRDefault="00DA1E37" w:rsidP="00D8786F">
            <w:pPr>
              <w:pStyle w:val="SorkznlklCESCI20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lang w:val="hr-HR"/>
              </w:rPr>
            </w:pPr>
          </w:p>
        </w:tc>
        <w:tc>
          <w:tcPr>
            <w:tcW w:w="6691" w:type="dxa"/>
            <w:gridSpan w:val="2"/>
            <w:vAlign w:val="top"/>
          </w:tcPr>
          <w:p w14:paraId="2F3E03A7" w14:textId="39FEC5EF" w:rsidR="00DA1E37" w:rsidRPr="0086186A" w:rsidRDefault="00F93CA2"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lang w:val="hr-HR"/>
              </w:rPr>
            </w:pPr>
            <w:bookmarkStart w:id="3" w:name="_Hlk73200712"/>
            <w:r w:rsidRPr="0086186A">
              <w:rPr>
                <w:rFonts w:ascii="Times New Roman" w:hAnsi="Times New Roman" w:cs="Times New Roman"/>
                <w:i/>
                <w:sz w:val="20"/>
                <w:szCs w:val="20"/>
                <w:lang w:val="hr-HR"/>
              </w:rPr>
              <w:t>Zajedničke obrazovne inicijative</w:t>
            </w:r>
          </w:p>
          <w:p w14:paraId="24FCBAEF" w14:textId="77777777" w:rsidR="00E91CB7" w:rsidRPr="0086186A" w:rsidRDefault="00E91CB7"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lang w:val="hr-HR"/>
              </w:rPr>
            </w:pPr>
          </w:p>
          <w:p w14:paraId="51AC0D5E" w14:textId="0E939B9B" w:rsidR="00F93CA2" w:rsidRPr="0086186A" w:rsidRDefault="00F93CA2"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r-HR"/>
              </w:rPr>
            </w:pPr>
            <w:r w:rsidRPr="0086186A">
              <w:rPr>
                <w:rFonts w:ascii="Times New Roman" w:hAnsi="Times New Roman" w:cs="Times New Roman"/>
                <w:sz w:val="20"/>
                <w:szCs w:val="20"/>
                <w:lang w:val="hr-HR"/>
              </w:rPr>
              <w:t>Produktivnost rada zaostaje za europskim prosjekom u pograničnom području, a na tržištu rada zamjetno je snažno nepodudaranje između vještina i potražnje.</w:t>
            </w:r>
            <w:r w:rsidR="00840CED" w:rsidRPr="0086186A">
              <w:rPr>
                <w:rFonts w:ascii="Times New Roman" w:hAnsi="Times New Roman" w:cs="Times New Roman"/>
                <w:sz w:val="20"/>
                <w:szCs w:val="20"/>
                <w:lang w:val="hr-HR"/>
              </w:rPr>
              <w:t xml:space="preserve"> U pograničnom području postoje kapaciteti višeg obrazovanja sa širokim rasponom disciplina, s tendencijom smanjenja broja studenata, što ima negativan učinak na konkurentnost. Stoga je potrebno bolje usklađenje s potražnjom na tržištu. Ni strukovno obrazovanje nije u </w:t>
            </w:r>
            <w:proofErr w:type="spellStart"/>
            <w:r w:rsidR="00840CED" w:rsidRPr="0086186A">
              <w:rPr>
                <w:rFonts w:ascii="Times New Roman" w:hAnsi="Times New Roman" w:cs="Times New Roman"/>
                <w:sz w:val="20"/>
                <w:szCs w:val="20"/>
                <w:lang w:val="hr-HR"/>
              </w:rPr>
              <w:t>dovoljoj</w:t>
            </w:r>
            <w:proofErr w:type="spellEnd"/>
            <w:r w:rsidR="00840CED" w:rsidRPr="0086186A">
              <w:rPr>
                <w:rFonts w:ascii="Times New Roman" w:hAnsi="Times New Roman" w:cs="Times New Roman"/>
                <w:sz w:val="20"/>
                <w:szCs w:val="20"/>
                <w:lang w:val="hr-HR"/>
              </w:rPr>
              <w:t xml:space="preserve"> mjeri usmjereno pa ga treba bolje fokusirati na potražnju na tržištu. Nadalje, odrasli slabo sudjeluju u obrazovanju, što je protivno načelima cjeloživotnog učenja.</w:t>
            </w:r>
          </w:p>
          <w:p w14:paraId="4FC54FAB" w14:textId="5F8E279A" w:rsidR="00840CED" w:rsidRPr="0086186A" w:rsidRDefault="00840CED"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r-HR"/>
              </w:rPr>
            </w:pPr>
          </w:p>
          <w:p w14:paraId="6B92243F" w14:textId="3A584053" w:rsidR="00840CED" w:rsidRPr="0086186A" w:rsidRDefault="00840CED"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r-HR"/>
              </w:rPr>
            </w:pPr>
            <w:r w:rsidRPr="0086186A">
              <w:rPr>
                <w:rFonts w:ascii="Times New Roman" w:hAnsi="Times New Roman" w:cs="Times New Roman"/>
                <w:sz w:val="20"/>
                <w:szCs w:val="20"/>
                <w:lang w:val="hr-HR"/>
              </w:rPr>
              <w:t xml:space="preserve">Kako bi se promicala konkurentnost obrazovanja i cjeloživotnog učenja, sve razine obrazovanja trebalo bi ojačati kroz zajedničke obrazovne projekte obrazovnih institucija na dvije strane granice. To uključuje razvoj zajedničkih kurikuluma, pokretanje novih tečajeva za osposobljavanje, razmjenu dobrih praksi u obrazovnim programima i podršku </w:t>
            </w:r>
            <w:proofErr w:type="spellStart"/>
            <w:r w:rsidRPr="0086186A">
              <w:rPr>
                <w:rFonts w:ascii="Times New Roman" w:hAnsi="Times New Roman" w:cs="Times New Roman"/>
                <w:sz w:val="20"/>
                <w:szCs w:val="20"/>
                <w:lang w:val="hr-HR"/>
              </w:rPr>
              <w:t>infrastukturnih</w:t>
            </w:r>
            <w:proofErr w:type="spellEnd"/>
            <w:r w:rsidRPr="0086186A">
              <w:rPr>
                <w:rFonts w:ascii="Times New Roman" w:hAnsi="Times New Roman" w:cs="Times New Roman"/>
                <w:sz w:val="20"/>
                <w:szCs w:val="20"/>
                <w:lang w:val="hr-HR"/>
              </w:rPr>
              <w:t xml:space="preserve"> ulaganja manjih razmjera.</w:t>
            </w:r>
          </w:p>
          <w:p w14:paraId="66A88F4F" w14:textId="6B8EBDC3" w:rsidR="00840CED" w:rsidRPr="0086186A" w:rsidRDefault="00840CED"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r-HR"/>
              </w:rPr>
            </w:pPr>
          </w:p>
          <w:p w14:paraId="581CDC9C" w14:textId="37840C97" w:rsidR="00DA1E37" w:rsidRPr="0086186A" w:rsidRDefault="00840CED" w:rsidP="00840CED">
            <w:pPr>
              <w:pStyle w:val="TableParagraph"/>
              <w:ind w:left="109"/>
              <w:jc w:val="both"/>
              <w:cnfStyle w:val="000000000000" w:firstRow="0" w:lastRow="0" w:firstColumn="0" w:lastColumn="0" w:oddVBand="0" w:evenVBand="0" w:oddHBand="0" w:evenHBand="0" w:firstRowFirstColumn="0" w:firstRowLastColumn="0" w:lastRowFirstColumn="0" w:lastRowLastColumn="0"/>
              <w:rPr>
                <w:lang w:val="hr-HR"/>
              </w:rPr>
            </w:pPr>
            <w:r w:rsidRPr="0086186A">
              <w:rPr>
                <w:rFonts w:ascii="Times New Roman" w:hAnsi="Times New Roman" w:cs="Times New Roman"/>
                <w:sz w:val="20"/>
                <w:szCs w:val="20"/>
                <w:lang w:val="hr-HR"/>
              </w:rPr>
              <w:t>Bespovratna sredstva bit će omogućena za financiranje projekata na temelju ovog posebnog cilja jer se ne primjenjuje nijedan financijski instrument</w:t>
            </w:r>
            <w:bookmarkEnd w:id="3"/>
            <w:r w:rsidRPr="0086186A">
              <w:rPr>
                <w:rFonts w:ascii="Times New Roman" w:hAnsi="Times New Roman" w:cs="Times New Roman"/>
                <w:sz w:val="20"/>
                <w:szCs w:val="20"/>
                <w:lang w:val="hr-HR"/>
              </w:rPr>
              <w:t>.</w:t>
            </w:r>
          </w:p>
        </w:tc>
      </w:tr>
      <w:tr w:rsidR="0018543A" w:rsidRPr="0086186A" w14:paraId="09F6B1ED" w14:textId="77777777" w:rsidTr="0018543A">
        <w:tc>
          <w:tcPr>
            <w:cnfStyle w:val="001000000000" w:firstRow="0" w:lastRow="0" w:firstColumn="1" w:lastColumn="0" w:oddVBand="0" w:evenVBand="0" w:oddHBand="0" w:evenHBand="0" w:firstRowFirstColumn="0" w:firstRowLastColumn="0" w:lastRowFirstColumn="0" w:lastRowLastColumn="0"/>
            <w:tcW w:w="1810" w:type="dxa"/>
          </w:tcPr>
          <w:p w14:paraId="7DB2CE98" w14:textId="6C3B07E0" w:rsidR="00070790" w:rsidRPr="0086186A" w:rsidRDefault="00070790" w:rsidP="009A4C79">
            <w:pPr>
              <w:keepNext/>
              <w:rPr>
                <w:rFonts w:eastAsia="Times New Roman" w:cs="Times New Roman"/>
                <w:bCs/>
                <w:iCs/>
                <w:sz w:val="20"/>
                <w:szCs w:val="20"/>
                <w:lang w:val="hr-HR" w:eastAsia="en-GB"/>
              </w:rPr>
            </w:pPr>
            <w:r w:rsidRPr="0086186A">
              <w:rPr>
                <w:rFonts w:eastAsia="Times New Roman" w:cs="Times New Roman"/>
                <w:bCs/>
                <w:iCs/>
                <w:sz w:val="20"/>
                <w:szCs w:val="20"/>
                <w:lang w:val="hr-HR" w:eastAsia="en-GB"/>
              </w:rPr>
              <w:lastRenderedPageBreak/>
              <w:t xml:space="preserve">ISO 1 – </w:t>
            </w:r>
            <w:r w:rsidR="00271A55" w:rsidRPr="0086186A">
              <w:rPr>
                <w:rFonts w:eastAsia="Times New Roman" w:cs="Times New Roman"/>
                <w:bCs/>
                <w:iCs/>
                <w:sz w:val="20"/>
                <w:szCs w:val="20"/>
                <w:lang w:val="hr-HR" w:eastAsia="en-GB"/>
              </w:rPr>
              <w:t xml:space="preserve">bolje upravljanje suradnjom </w:t>
            </w:r>
          </w:p>
        </w:tc>
        <w:tc>
          <w:tcPr>
            <w:tcW w:w="3348" w:type="dxa"/>
          </w:tcPr>
          <w:p w14:paraId="519E147F" w14:textId="5DA85C7D" w:rsidR="00070790" w:rsidRPr="0086186A" w:rsidRDefault="00070790" w:rsidP="00271A55">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lang w:val="hr-HR" w:eastAsia="en-US"/>
              </w:rPr>
            </w:pPr>
            <w:r w:rsidRPr="0086186A">
              <w:rPr>
                <w:rFonts w:ascii="Times New Roman" w:hAnsi="Times New Roman" w:cs="Times New Roman"/>
                <w:i/>
                <w:sz w:val="20"/>
                <w:szCs w:val="20"/>
                <w:lang w:val="hr-HR" w:eastAsia="en-US"/>
              </w:rPr>
              <w:t xml:space="preserve">(b)  </w:t>
            </w:r>
            <w:r w:rsidR="00271A55" w:rsidRPr="0086186A">
              <w:rPr>
                <w:rFonts w:ascii="Times New Roman" w:hAnsi="Times New Roman" w:cs="Times New Roman"/>
                <w:i/>
                <w:sz w:val="20"/>
                <w:szCs w:val="20"/>
                <w:lang w:val="hr-HR" w:eastAsia="en-US"/>
              </w:rPr>
              <w:t>Jačanje učinkovite javne uprave promicanjem zakonske i administrativne suradnje te suradnje među građanima, akterima civilnog društva i institucija, posebno s ciljem rješavanja zakonskih i drugih prepreka u pograničnim područjima</w:t>
            </w:r>
          </w:p>
        </w:tc>
        <w:tc>
          <w:tcPr>
            <w:tcW w:w="2634" w:type="dxa"/>
            <w:gridSpan w:val="2"/>
            <w:vMerge w:val="restart"/>
            <w:vAlign w:val="top"/>
          </w:tcPr>
          <w:p w14:paraId="38852D3F" w14:textId="129C6110" w:rsidR="00070790" w:rsidRPr="0086186A" w:rsidRDefault="00070790" w:rsidP="009A4C79">
            <w:pPr>
              <w:keepNext/>
              <w:cnfStyle w:val="000000000000" w:firstRow="0" w:lastRow="0" w:firstColumn="0" w:lastColumn="0" w:oddVBand="0" w:evenVBand="0" w:oddHBand="0" w:evenHBand="0" w:firstRowFirstColumn="0" w:firstRowLastColumn="0" w:lastRowFirstColumn="0" w:lastRowLastColumn="0"/>
              <w:rPr>
                <w:rFonts w:eastAsia="Times New Roman" w:cs="Times New Roman"/>
                <w:iCs/>
                <w:sz w:val="20"/>
                <w:szCs w:val="20"/>
                <w:lang w:val="hr-HR" w:eastAsia="en-GB"/>
              </w:rPr>
            </w:pPr>
            <w:r w:rsidRPr="0086186A">
              <w:rPr>
                <w:rFonts w:eastAsia="Times New Roman" w:cs="Times New Roman"/>
                <w:iCs/>
                <w:sz w:val="20"/>
                <w:szCs w:val="20"/>
                <w:lang w:val="hr-HR" w:eastAsia="en-GB"/>
              </w:rPr>
              <w:t xml:space="preserve">4. </w:t>
            </w:r>
            <w:r w:rsidR="00271A55" w:rsidRPr="0086186A">
              <w:rPr>
                <w:rFonts w:eastAsia="Times New Roman" w:cs="Times New Roman"/>
                <w:iCs/>
                <w:sz w:val="20"/>
                <w:szCs w:val="20"/>
                <w:lang w:val="hr-HR" w:eastAsia="en-GB"/>
              </w:rPr>
              <w:t>Pogranično područje koje surađuje</w:t>
            </w:r>
          </w:p>
        </w:tc>
        <w:tc>
          <w:tcPr>
            <w:tcW w:w="6662" w:type="dxa"/>
          </w:tcPr>
          <w:p w14:paraId="68258CF2" w14:textId="666EAAAC" w:rsidR="00070790" w:rsidRPr="0086186A" w:rsidRDefault="00271A55" w:rsidP="00070790">
            <w:pPr>
              <w:keepNext/>
              <w:jc w:val="both"/>
              <w:cnfStyle w:val="000000000000" w:firstRow="0" w:lastRow="0" w:firstColumn="0" w:lastColumn="0" w:oddVBand="0" w:evenVBand="0" w:oddHBand="0" w:evenHBand="0" w:firstRowFirstColumn="0" w:firstRowLastColumn="0" w:lastRowFirstColumn="0" w:lastRowLastColumn="0"/>
              <w:rPr>
                <w:rFonts w:eastAsia="Times New Roman" w:cs="Times New Roman"/>
                <w:i/>
                <w:sz w:val="20"/>
                <w:szCs w:val="20"/>
                <w:lang w:val="hr-HR" w:eastAsia="en-GB"/>
              </w:rPr>
            </w:pPr>
            <w:r w:rsidRPr="0086186A">
              <w:rPr>
                <w:rFonts w:eastAsia="Times New Roman" w:cs="Times New Roman"/>
                <w:i/>
                <w:sz w:val="20"/>
                <w:szCs w:val="20"/>
                <w:lang w:val="hr-HR" w:eastAsia="en-GB"/>
              </w:rPr>
              <w:t>Poticanje suradnje između uprava</w:t>
            </w:r>
          </w:p>
          <w:p w14:paraId="503CA37B" w14:textId="3E9687B7" w:rsidR="00070790" w:rsidRPr="0086186A" w:rsidRDefault="00070790" w:rsidP="0018543A">
            <w:pPr>
              <w:keepNext/>
              <w:jc w:val="both"/>
              <w:cnfStyle w:val="000000000000" w:firstRow="0" w:lastRow="0" w:firstColumn="0" w:lastColumn="0" w:oddVBand="0" w:evenVBand="0" w:oddHBand="0" w:evenHBand="0" w:firstRowFirstColumn="0" w:firstRowLastColumn="0" w:lastRowFirstColumn="0" w:lastRowLastColumn="0"/>
              <w:rPr>
                <w:rFonts w:eastAsia="Times New Roman" w:cs="Times New Roman"/>
                <w:iCs/>
                <w:sz w:val="20"/>
                <w:szCs w:val="20"/>
                <w:lang w:val="hr-HR" w:eastAsia="en-GB"/>
              </w:rPr>
            </w:pPr>
          </w:p>
          <w:p w14:paraId="039D0F90" w14:textId="177AAEA1" w:rsidR="00070790" w:rsidRPr="0086186A" w:rsidRDefault="00271A55" w:rsidP="009A4C79">
            <w:pPr>
              <w:keepNext/>
              <w:jc w:val="both"/>
              <w:cnfStyle w:val="000000000000" w:firstRow="0" w:lastRow="0" w:firstColumn="0" w:lastColumn="0" w:oddVBand="0" w:evenVBand="0" w:oddHBand="0" w:evenHBand="0" w:firstRowFirstColumn="0" w:firstRowLastColumn="0" w:lastRowFirstColumn="0" w:lastRowLastColumn="0"/>
              <w:rPr>
                <w:rFonts w:eastAsia="Times New Roman" w:cs="Times New Roman"/>
                <w:iCs/>
                <w:sz w:val="20"/>
                <w:szCs w:val="20"/>
                <w:lang w:val="hr-HR" w:eastAsia="en-GB"/>
              </w:rPr>
            </w:pPr>
            <w:r w:rsidRPr="0086186A">
              <w:rPr>
                <w:rFonts w:eastAsia="Times New Roman" w:cs="Times New Roman"/>
                <w:iCs/>
                <w:sz w:val="20"/>
                <w:szCs w:val="20"/>
                <w:lang w:val="hr-HR" w:eastAsia="en-GB"/>
              </w:rPr>
              <w:t>Strukture javne uprave pokazuju značajne razlike unatoč dugoj zajedničkoj povijesti. Uloga lokalnih uprava prilično je slična, no uloge institucija na razini županija i države pokazuju mješovitu sliku. U obje države gradovi sa središnjim funkcijama igraju ključnu ulogu u regionalnom razvoju</w:t>
            </w:r>
            <w:r w:rsidR="00070790" w:rsidRPr="0086186A">
              <w:rPr>
                <w:rFonts w:eastAsia="Times New Roman" w:cs="Times New Roman"/>
                <w:iCs/>
                <w:sz w:val="20"/>
                <w:szCs w:val="20"/>
                <w:lang w:val="hr-HR" w:eastAsia="en-GB"/>
              </w:rPr>
              <w:t xml:space="preserve">. </w:t>
            </w:r>
          </w:p>
          <w:p w14:paraId="588A1713" w14:textId="44A423C5" w:rsidR="00271A55" w:rsidRPr="0086186A" w:rsidRDefault="00271A55" w:rsidP="009A4C79">
            <w:pPr>
              <w:keepNext/>
              <w:jc w:val="both"/>
              <w:cnfStyle w:val="000000000000" w:firstRow="0" w:lastRow="0" w:firstColumn="0" w:lastColumn="0" w:oddVBand="0" w:evenVBand="0" w:oddHBand="0" w:evenHBand="0" w:firstRowFirstColumn="0" w:firstRowLastColumn="0" w:lastRowFirstColumn="0" w:lastRowLastColumn="0"/>
              <w:rPr>
                <w:rFonts w:eastAsia="Times New Roman" w:cs="Times New Roman"/>
                <w:iCs/>
                <w:sz w:val="20"/>
                <w:szCs w:val="20"/>
                <w:lang w:val="hr-HR" w:eastAsia="en-GB"/>
              </w:rPr>
            </w:pPr>
          </w:p>
          <w:p w14:paraId="67FD1DAC" w14:textId="502FBD28" w:rsidR="00271A55" w:rsidRPr="0086186A" w:rsidRDefault="00271A55" w:rsidP="009A4C79">
            <w:pPr>
              <w:keepNext/>
              <w:jc w:val="both"/>
              <w:cnfStyle w:val="000000000000" w:firstRow="0" w:lastRow="0" w:firstColumn="0" w:lastColumn="0" w:oddVBand="0" w:evenVBand="0" w:oddHBand="0" w:evenHBand="0" w:firstRowFirstColumn="0" w:firstRowLastColumn="0" w:lastRowFirstColumn="0" w:lastRowLastColumn="0"/>
              <w:rPr>
                <w:rFonts w:eastAsia="Times New Roman" w:cs="Times New Roman"/>
                <w:iCs/>
                <w:sz w:val="20"/>
                <w:szCs w:val="20"/>
                <w:lang w:val="hr-HR" w:eastAsia="en-GB"/>
              </w:rPr>
            </w:pPr>
            <w:r w:rsidRPr="0086186A">
              <w:rPr>
                <w:rFonts w:eastAsia="Times New Roman" w:cs="Times New Roman"/>
                <w:iCs/>
                <w:sz w:val="20"/>
                <w:szCs w:val="20"/>
                <w:lang w:val="hr-HR" w:eastAsia="en-GB"/>
              </w:rPr>
              <w:t xml:space="preserve">Zbog niske razine teritorijalne integracije između dvije strane, tematska suradnja aktera teritorijalnog upravljanja (javnih ili privatnih neprofitnih) </w:t>
            </w:r>
            <w:proofErr w:type="spellStart"/>
            <w:r w:rsidRPr="0086186A">
              <w:rPr>
                <w:rFonts w:eastAsia="Times New Roman" w:cs="Times New Roman"/>
                <w:iCs/>
                <w:sz w:val="20"/>
                <w:szCs w:val="20"/>
                <w:lang w:val="hr-HR" w:eastAsia="en-GB"/>
              </w:rPr>
              <w:t>potrebnaje</w:t>
            </w:r>
            <w:proofErr w:type="spellEnd"/>
            <w:r w:rsidRPr="0086186A">
              <w:rPr>
                <w:rFonts w:eastAsia="Times New Roman" w:cs="Times New Roman"/>
                <w:iCs/>
                <w:sz w:val="20"/>
                <w:szCs w:val="20"/>
                <w:lang w:val="hr-HR" w:eastAsia="en-GB"/>
              </w:rPr>
              <w:t xml:space="preserve"> u raznim domenama s ciljem utvrđivanja prepreka (zakonskih i administrativnih), razmjene iskustava, </w:t>
            </w:r>
            <w:r w:rsidR="00CE374B" w:rsidRPr="0086186A">
              <w:rPr>
                <w:rFonts w:eastAsia="Times New Roman" w:cs="Times New Roman"/>
                <w:iCs/>
                <w:sz w:val="20"/>
                <w:szCs w:val="20"/>
                <w:lang w:val="hr-HR" w:eastAsia="en-GB"/>
              </w:rPr>
              <w:t>iznalaženja rješenja za postojeće praznine, poticanja digitalizacije, prijenosa dobrih praksi te osmišljavanja i pripreme budućih projekata.</w:t>
            </w:r>
          </w:p>
          <w:p w14:paraId="527898F9" w14:textId="77916271" w:rsidR="00CE374B" w:rsidRPr="0086186A" w:rsidRDefault="00CE374B" w:rsidP="009A4C79">
            <w:pPr>
              <w:keepNext/>
              <w:jc w:val="both"/>
              <w:cnfStyle w:val="000000000000" w:firstRow="0" w:lastRow="0" w:firstColumn="0" w:lastColumn="0" w:oddVBand="0" w:evenVBand="0" w:oddHBand="0" w:evenHBand="0" w:firstRowFirstColumn="0" w:firstRowLastColumn="0" w:lastRowFirstColumn="0" w:lastRowLastColumn="0"/>
              <w:rPr>
                <w:rFonts w:eastAsia="Times New Roman" w:cs="Times New Roman"/>
                <w:iCs/>
                <w:sz w:val="20"/>
                <w:szCs w:val="20"/>
                <w:lang w:val="hr-HR" w:eastAsia="en-GB"/>
              </w:rPr>
            </w:pPr>
          </w:p>
          <w:p w14:paraId="312F0F60" w14:textId="1088E1FB" w:rsidR="00070790" w:rsidRPr="0086186A" w:rsidRDefault="00CE374B" w:rsidP="00CE374B">
            <w:pPr>
              <w:keepNext/>
              <w:jc w:val="both"/>
              <w:cnfStyle w:val="000000000000" w:firstRow="0" w:lastRow="0" w:firstColumn="0" w:lastColumn="0" w:oddVBand="0" w:evenVBand="0" w:oddHBand="0" w:evenHBand="0" w:firstRowFirstColumn="0" w:firstRowLastColumn="0" w:lastRowFirstColumn="0" w:lastRowLastColumn="0"/>
              <w:rPr>
                <w:rFonts w:eastAsia="Times New Roman" w:cs="Times New Roman"/>
                <w:iCs/>
                <w:sz w:val="20"/>
                <w:szCs w:val="20"/>
                <w:lang w:val="hr-HR" w:eastAsia="en-GB"/>
              </w:rPr>
            </w:pPr>
            <w:r w:rsidRPr="0086186A">
              <w:rPr>
                <w:rFonts w:cs="Times New Roman"/>
                <w:sz w:val="20"/>
                <w:szCs w:val="20"/>
                <w:lang w:val="hr-HR"/>
              </w:rPr>
              <w:t>Bespovratna sredstva bit će omogućena za financiranje projekata na temelju ovog posebnog cilja jer se ne primjenjuje nijedan financijski instrument.</w:t>
            </w:r>
          </w:p>
        </w:tc>
      </w:tr>
      <w:tr w:rsidR="0018543A" w:rsidRPr="0086186A" w14:paraId="69AF52EE" w14:textId="77777777" w:rsidTr="0018543A">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10" w:type="dxa"/>
          </w:tcPr>
          <w:p w14:paraId="0B84F675" w14:textId="38CDB6CE" w:rsidR="00070790" w:rsidRPr="0086186A" w:rsidRDefault="00070790" w:rsidP="009A4C79">
            <w:pPr>
              <w:rPr>
                <w:rFonts w:eastAsia="Times New Roman" w:cs="Times New Roman"/>
                <w:bCs/>
                <w:iCs/>
                <w:sz w:val="20"/>
                <w:szCs w:val="20"/>
                <w:lang w:val="hr-HR" w:eastAsia="en-GB"/>
              </w:rPr>
            </w:pPr>
            <w:r w:rsidRPr="0086186A">
              <w:rPr>
                <w:rFonts w:eastAsia="Times New Roman" w:cs="Times New Roman"/>
                <w:bCs/>
                <w:iCs/>
                <w:sz w:val="20"/>
                <w:szCs w:val="20"/>
                <w:lang w:val="hr-HR" w:eastAsia="en-GB"/>
              </w:rPr>
              <w:t xml:space="preserve">ISO 1 – </w:t>
            </w:r>
            <w:r w:rsidR="00271A55" w:rsidRPr="0086186A">
              <w:rPr>
                <w:rFonts w:eastAsia="Times New Roman" w:cs="Times New Roman"/>
                <w:bCs/>
                <w:iCs/>
                <w:sz w:val="20"/>
                <w:szCs w:val="20"/>
                <w:lang w:val="hr-HR" w:eastAsia="en-GB"/>
              </w:rPr>
              <w:t>bolje upravljanje suradnjom</w:t>
            </w:r>
          </w:p>
        </w:tc>
        <w:tc>
          <w:tcPr>
            <w:tcW w:w="3348" w:type="dxa"/>
          </w:tcPr>
          <w:p w14:paraId="06EFA91E" w14:textId="1AE971EE" w:rsidR="00070790" w:rsidRPr="0086186A" w:rsidRDefault="00070790" w:rsidP="00271A55">
            <w:pPr>
              <w:pStyle w:val="TableParagraph"/>
              <w:jc w:val="both"/>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hr-HR" w:eastAsia="en-GB"/>
              </w:rPr>
            </w:pPr>
            <w:r w:rsidRPr="0086186A">
              <w:rPr>
                <w:rFonts w:ascii="Times New Roman" w:hAnsi="Times New Roman" w:cs="Times New Roman"/>
                <w:i/>
                <w:sz w:val="20"/>
                <w:szCs w:val="20"/>
                <w:lang w:val="hr-HR" w:eastAsia="en-US"/>
              </w:rPr>
              <w:t xml:space="preserve">(c)   </w:t>
            </w:r>
            <w:r w:rsidR="00271A55" w:rsidRPr="0086186A">
              <w:rPr>
                <w:rFonts w:ascii="Times New Roman" w:hAnsi="Times New Roman" w:cs="Times New Roman"/>
                <w:i/>
                <w:sz w:val="20"/>
                <w:szCs w:val="20"/>
                <w:lang w:val="hr-HR" w:eastAsia="en-US"/>
              </w:rPr>
              <w:t>Izgradnja umjerenog povjerenja, posebno poticanjem međuljudskog djelovanja</w:t>
            </w:r>
          </w:p>
        </w:tc>
        <w:tc>
          <w:tcPr>
            <w:tcW w:w="2634" w:type="dxa"/>
            <w:gridSpan w:val="2"/>
            <w:vMerge/>
          </w:tcPr>
          <w:p w14:paraId="3337A9BC" w14:textId="77777777" w:rsidR="00070790" w:rsidRPr="0086186A" w:rsidRDefault="00070790" w:rsidP="009A4C79">
            <w:pPr>
              <w:cnfStyle w:val="000000000000" w:firstRow="0" w:lastRow="0" w:firstColumn="0" w:lastColumn="0" w:oddVBand="0" w:evenVBand="0" w:oddHBand="0" w:evenHBand="0" w:firstRowFirstColumn="0" w:firstRowLastColumn="0" w:lastRowFirstColumn="0" w:lastRowLastColumn="0"/>
              <w:rPr>
                <w:rFonts w:eastAsia="Times New Roman" w:cs="Times New Roman"/>
                <w:iCs/>
                <w:sz w:val="20"/>
                <w:szCs w:val="20"/>
                <w:lang w:val="hr-HR" w:eastAsia="en-GB"/>
              </w:rPr>
            </w:pPr>
          </w:p>
        </w:tc>
        <w:tc>
          <w:tcPr>
            <w:tcW w:w="6662" w:type="dxa"/>
          </w:tcPr>
          <w:p w14:paraId="79774FDC" w14:textId="2F284609" w:rsidR="00070790" w:rsidRPr="0086186A" w:rsidRDefault="00CE374B" w:rsidP="00070790">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i/>
                <w:sz w:val="20"/>
                <w:szCs w:val="20"/>
                <w:lang w:val="hr-HR" w:eastAsia="en-GB"/>
              </w:rPr>
            </w:pPr>
            <w:r w:rsidRPr="0086186A">
              <w:rPr>
                <w:rFonts w:eastAsia="Times New Roman" w:cs="Times New Roman"/>
                <w:i/>
                <w:sz w:val="20"/>
                <w:szCs w:val="20"/>
                <w:lang w:val="hr-HR" w:eastAsia="en-GB"/>
              </w:rPr>
              <w:t>Podrška civilnoj suradnji</w:t>
            </w:r>
          </w:p>
          <w:p w14:paraId="69FEDAC6" w14:textId="77777777" w:rsidR="00070790" w:rsidRPr="0086186A" w:rsidRDefault="00070790" w:rsidP="0018543A">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iCs/>
                <w:sz w:val="20"/>
                <w:szCs w:val="20"/>
                <w:lang w:val="hr-HR" w:eastAsia="en-GB"/>
              </w:rPr>
            </w:pPr>
          </w:p>
          <w:p w14:paraId="07E77789" w14:textId="79A37046" w:rsidR="00CE374B" w:rsidRPr="0086186A" w:rsidRDefault="00CE374B" w:rsidP="009A4C79">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iCs/>
                <w:sz w:val="20"/>
                <w:szCs w:val="20"/>
                <w:lang w:val="hr-HR" w:eastAsia="en-GB"/>
              </w:rPr>
            </w:pPr>
            <w:r w:rsidRPr="0086186A">
              <w:rPr>
                <w:rFonts w:eastAsia="Times New Roman" w:cs="Times New Roman"/>
                <w:iCs/>
                <w:sz w:val="20"/>
                <w:szCs w:val="20"/>
                <w:lang w:val="hr-HR" w:eastAsia="en-GB"/>
              </w:rPr>
              <w:t>Pograničnom području tradicionalno je svojstven pozitivan i suradnički odnos između partnerskih država. Lokalne uprave te civilne i kulturne organizacije tradicionalno su aktivni akteri koji surađuju. To se posebno odnosi na organizacije manjina, koje igraju važnu ulogu u povezivanju dviju strana. One su aktivne i u područjima kulture, obrazovanja i sporta.</w:t>
            </w:r>
          </w:p>
          <w:p w14:paraId="0E1727CA" w14:textId="295E3BB0" w:rsidR="00CE374B" w:rsidRPr="0086186A" w:rsidRDefault="00CE374B" w:rsidP="009A4C79">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iCs/>
                <w:sz w:val="20"/>
                <w:szCs w:val="20"/>
                <w:lang w:val="hr-HR" w:eastAsia="en-GB"/>
              </w:rPr>
            </w:pPr>
          </w:p>
          <w:p w14:paraId="1F249778" w14:textId="55B93FBD" w:rsidR="00CE374B" w:rsidRPr="0086186A" w:rsidRDefault="00CE374B" w:rsidP="009A4C79">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iCs/>
                <w:sz w:val="20"/>
                <w:szCs w:val="20"/>
                <w:lang w:val="hr-HR" w:eastAsia="en-GB"/>
              </w:rPr>
            </w:pPr>
            <w:r w:rsidRPr="0086186A">
              <w:rPr>
                <w:rFonts w:eastAsia="Times New Roman" w:cs="Times New Roman"/>
                <w:iCs/>
                <w:sz w:val="20"/>
                <w:szCs w:val="20"/>
                <w:lang w:val="hr-HR" w:eastAsia="en-GB"/>
              </w:rPr>
              <w:t>Kako bi se izgradilo uzajamno povjerenje, ključni su promicanje kulturne razmjene i podrška dijalogu za civilne organizacije koje djeluju u sljedećim područjima: kulturne organizacije, udruženja sportaša i mladih, organizacije pripadnika manjina. To uključuje organizaciju zajedničkih događaja i provedbu zajedničkih inicijativa.</w:t>
            </w:r>
          </w:p>
          <w:p w14:paraId="3ECF169E" w14:textId="29A386E3" w:rsidR="00CE374B" w:rsidRPr="0086186A" w:rsidRDefault="00CE374B" w:rsidP="009A4C79">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iCs/>
                <w:sz w:val="20"/>
                <w:szCs w:val="20"/>
                <w:lang w:val="hr-HR" w:eastAsia="en-GB"/>
              </w:rPr>
            </w:pPr>
          </w:p>
          <w:p w14:paraId="017A83FE" w14:textId="468EA6A2" w:rsidR="00CE374B" w:rsidRPr="0086186A" w:rsidRDefault="00CE374B" w:rsidP="00CE374B">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iCs/>
                <w:sz w:val="20"/>
                <w:szCs w:val="20"/>
                <w:lang w:val="hr-HR" w:eastAsia="en-GB"/>
              </w:rPr>
            </w:pPr>
            <w:r w:rsidRPr="0086186A">
              <w:rPr>
                <w:rFonts w:cs="Times New Roman"/>
                <w:sz w:val="20"/>
                <w:szCs w:val="20"/>
                <w:lang w:val="hr-HR"/>
              </w:rPr>
              <w:t>Bespovratna sredstva bit će omogućena za financiranje projekata na temelju ovog posebnog cilja jer se ne primjenjuje nijedan financijski instrument.</w:t>
            </w:r>
          </w:p>
          <w:p w14:paraId="04AB549D" w14:textId="5C4C6241" w:rsidR="00514EC9" w:rsidRPr="0086186A" w:rsidRDefault="00514EC9" w:rsidP="009A4C79">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iCs/>
                <w:sz w:val="20"/>
                <w:szCs w:val="20"/>
                <w:lang w:val="hr-HR" w:eastAsia="en-GB"/>
              </w:rPr>
            </w:pPr>
          </w:p>
        </w:tc>
      </w:tr>
    </w:tbl>
    <w:p w14:paraId="62E05CA6" w14:textId="4F6EE972" w:rsidR="00A83F15" w:rsidRPr="0086186A" w:rsidRDefault="00A83F15" w:rsidP="00D312B6">
      <w:pPr>
        <w:spacing w:after="0" w:line="240" w:lineRule="auto"/>
        <w:jc w:val="both"/>
        <w:rPr>
          <w:rFonts w:eastAsia="Times New Roman" w:cs="Times New Roman"/>
          <w:i/>
          <w:noProof/>
          <w:color w:val="000000"/>
          <w:sz w:val="20"/>
          <w:szCs w:val="20"/>
          <w:lang w:val="hr-HR" w:eastAsia="en-GB"/>
        </w:rPr>
        <w:sectPr w:rsidR="00A83F15" w:rsidRPr="0086186A" w:rsidSect="00E57851">
          <w:pgSz w:w="16838" w:h="11906" w:orient="landscape" w:code="9"/>
          <w:pgMar w:top="1418" w:right="1418" w:bottom="1418" w:left="1418" w:header="708" w:footer="708" w:gutter="0"/>
          <w:pgNumType w:start="18"/>
          <w:cols w:space="720"/>
          <w:titlePg/>
          <w:docGrid w:linePitch="360"/>
        </w:sectPr>
      </w:pPr>
    </w:p>
    <w:p w14:paraId="2ECD37E1" w14:textId="77777777" w:rsidR="00CB4EBF" w:rsidRPr="001C431F" w:rsidRDefault="00CB4EBF" w:rsidP="00CB4EBF">
      <w:pPr>
        <w:spacing w:after="0" w:line="240" w:lineRule="auto"/>
        <w:jc w:val="both"/>
        <w:rPr>
          <w:rFonts w:eastAsia="Times New Roman" w:cs="Times New Roman"/>
          <w:b/>
          <w:noProof/>
          <w:color w:val="000000"/>
          <w:sz w:val="20"/>
          <w:szCs w:val="20"/>
        </w:rPr>
      </w:pPr>
      <w:r>
        <w:rPr>
          <w:rFonts w:eastAsia="Times New Roman" w:cs="Times New Roman"/>
          <w:b/>
          <w:bCs/>
          <w:noProof/>
          <w:color w:val="000000"/>
          <w:sz w:val="20"/>
          <w:szCs w:val="20"/>
          <w:lang w:val="hr"/>
        </w:rPr>
        <w:lastRenderedPageBreak/>
        <w:t>Prioritet br. 1. Konkurentna pogranična regija</w:t>
      </w:r>
    </w:p>
    <w:p w14:paraId="11E57D25"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i/>
          <w:iCs/>
          <w:noProof/>
          <w:color w:val="000000"/>
          <w:sz w:val="20"/>
          <w:szCs w:val="20"/>
          <w:lang w:val="hr"/>
        </w:rPr>
        <w:t>Upućivanje: članak 17. stavak 3. točka (d)</w:t>
      </w:r>
    </w:p>
    <w:p w14:paraId="2BFEB615"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p>
    <w:p w14:paraId="659BFB99" w14:textId="77777777" w:rsidR="00CB4EBF" w:rsidRPr="001C431F" w:rsidRDefault="00CB4EBF" w:rsidP="00CB4EBF">
      <w:pPr>
        <w:spacing w:after="0" w:line="240" w:lineRule="auto"/>
        <w:jc w:val="both"/>
        <w:rPr>
          <w:rFonts w:eastAsia="Times New Roman" w:cs="Times New Roman"/>
          <w:b/>
          <w:noProof/>
          <w:color w:val="000000"/>
          <w:sz w:val="20"/>
          <w:szCs w:val="20"/>
        </w:rPr>
      </w:pPr>
      <w:r>
        <w:rPr>
          <w:rFonts w:eastAsia="Times New Roman" w:cs="Times New Roman"/>
          <w:b/>
          <w:bCs/>
          <w:noProof/>
          <w:color w:val="000000"/>
          <w:sz w:val="20"/>
          <w:szCs w:val="20"/>
          <w:lang w:val="hr"/>
        </w:rPr>
        <w:t>iii. poboljšanje održivog rasta i konkurentnosti malih i srednjih poduzeća i otvaranje novih radnih mjesta u malim i srednjim poduzećima, među ostalim i produktivnim ulaganjima</w:t>
      </w:r>
    </w:p>
    <w:p w14:paraId="2C1010B9"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i/>
          <w:iCs/>
          <w:noProof/>
          <w:color w:val="000000"/>
          <w:sz w:val="20"/>
          <w:szCs w:val="20"/>
          <w:lang w:val="hr"/>
        </w:rPr>
        <w:t>Upućivanje: članak 17. stavak 3. točka (e)</w:t>
      </w:r>
    </w:p>
    <w:p w14:paraId="7F5E5182"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p>
    <w:p w14:paraId="6069F34B" w14:textId="77777777" w:rsidR="00CB4EBF" w:rsidRPr="001C431F" w:rsidRDefault="00CB4EBF" w:rsidP="00CB4EBF">
      <w:pPr>
        <w:spacing w:after="0" w:line="240" w:lineRule="auto"/>
        <w:jc w:val="both"/>
        <w:rPr>
          <w:rFonts w:eastAsia="Times New Roman" w:cs="Times New Roman"/>
          <w:b/>
          <w:noProof/>
          <w:color w:val="000000"/>
          <w:sz w:val="20"/>
          <w:szCs w:val="20"/>
        </w:rPr>
      </w:pPr>
      <w:r>
        <w:rPr>
          <w:rFonts w:eastAsia="Times New Roman" w:cs="Times New Roman"/>
          <w:b/>
          <w:bCs/>
          <w:noProof/>
          <w:color w:val="000000"/>
          <w:sz w:val="20"/>
          <w:szCs w:val="20"/>
          <w:lang w:val="hr"/>
        </w:rPr>
        <w:t>Povezane vrste djelovanja i njihov očekivani doprinos tim specifičnim ciljevima i makroregionalnim strategijama te strategijama morskih bazena, prema potrebi</w:t>
      </w:r>
    </w:p>
    <w:p w14:paraId="5BA762E1" w14:textId="77777777" w:rsidR="00CB4EBF" w:rsidRDefault="00CB4EBF" w:rsidP="00CB4EBF">
      <w:pPr>
        <w:spacing w:after="0" w:line="240" w:lineRule="auto"/>
        <w:jc w:val="both"/>
        <w:rPr>
          <w:rFonts w:eastAsia="Times New Roman" w:cs="Times New Roman"/>
          <w:i/>
          <w:noProof/>
          <w:color w:val="000000"/>
          <w:sz w:val="20"/>
          <w:szCs w:val="20"/>
        </w:rPr>
      </w:pPr>
      <w:r>
        <w:rPr>
          <w:rFonts w:eastAsia="Times New Roman" w:cs="Times New Roman"/>
          <w:i/>
          <w:iCs/>
          <w:noProof/>
          <w:color w:val="000000"/>
          <w:sz w:val="20"/>
          <w:szCs w:val="20"/>
          <w:lang w:val="hr"/>
        </w:rPr>
        <w:t>Upućivanje: članak 17. stavak 3. točka (e) podtočka i., članak 17. stavak 9. točka (c) podtočka ii.</w:t>
      </w:r>
    </w:p>
    <w:p w14:paraId="3F893B63" w14:textId="77777777" w:rsidR="00CB4EBF" w:rsidRDefault="00CB4EBF" w:rsidP="00CB4EBF">
      <w:pPr>
        <w:spacing w:after="0" w:line="240" w:lineRule="auto"/>
        <w:jc w:val="both"/>
        <w:rPr>
          <w:rFonts w:eastAsia="Times New Roman" w:cs="Times New Roman"/>
          <w:i/>
          <w:noProof/>
          <w:color w:val="000000"/>
          <w:sz w:val="20"/>
          <w:szCs w:val="20"/>
        </w:rPr>
      </w:pPr>
    </w:p>
    <w:p w14:paraId="0EB82327" w14:textId="77777777" w:rsidR="00CB4EBF" w:rsidRDefault="00CB4EBF" w:rsidP="00CB4EBF">
      <w:pPr>
        <w:spacing w:after="0"/>
        <w:jc w:val="both"/>
        <w:rPr>
          <w:rFonts w:cs="Times New Roman"/>
          <w:sz w:val="20"/>
          <w:szCs w:val="20"/>
        </w:rPr>
      </w:pPr>
      <w:r>
        <w:rPr>
          <w:rFonts w:cs="Times New Roman"/>
          <w:sz w:val="20"/>
          <w:szCs w:val="20"/>
          <w:lang w:val="hr"/>
        </w:rPr>
        <w:t>Očekivani rezultati:</w:t>
      </w:r>
    </w:p>
    <w:p w14:paraId="49294F02" w14:textId="77777777" w:rsidR="00CB4EBF" w:rsidRPr="001C431F" w:rsidRDefault="00CB4EBF" w:rsidP="00CB4EBF">
      <w:pPr>
        <w:spacing w:after="0"/>
        <w:jc w:val="both"/>
        <w:rPr>
          <w:rFonts w:cs="Times New Roman"/>
          <w:sz w:val="20"/>
          <w:szCs w:val="20"/>
        </w:rPr>
      </w:pPr>
    </w:p>
    <w:p w14:paraId="50C8D046" w14:textId="77777777" w:rsidR="00CB4EBF" w:rsidRPr="001C431F" w:rsidRDefault="00CB4EBF" w:rsidP="00CB4EBF">
      <w:pPr>
        <w:spacing w:after="0"/>
        <w:jc w:val="both"/>
        <w:rPr>
          <w:rFonts w:cs="Times New Roman"/>
          <w:sz w:val="20"/>
          <w:szCs w:val="20"/>
        </w:rPr>
      </w:pPr>
      <w:r>
        <w:rPr>
          <w:rFonts w:cs="Times New Roman"/>
          <w:sz w:val="20"/>
          <w:szCs w:val="20"/>
          <w:lang w:val="hr"/>
        </w:rPr>
        <w:t>Poslovna i inovativna suradnja malih i srednjih poduzeća pomoći će malim i srednjim poduzećima u programskom području da postanu stabilniji i profitabilniji te se očekuje da će to imati pozitivan utjecaj na njihov izvozni/uvozni potencijal, mogućnosti za dodane vrijednosti, konkurentnost i zapošljavanje. To izravno pridonosi poboljšanju gospodarskog učinka programskog područja.</w:t>
      </w:r>
    </w:p>
    <w:p w14:paraId="42EAF162" w14:textId="77777777" w:rsidR="00CB4EBF" w:rsidRPr="001C431F" w:rsidRDefault="00CB4EBF" w:rsidP="00CB4EBF">
      <w:pPr>
        <w:spacing w:after="0" w:line="240" w:lineRule="auto"/>
        <w:jc w:val="both"/>
        <w:rPr>
          <w:rFonts w:eastAsia="Times New Roman" w:cs="Times New Roman"/>
          <w:i/>
          <w:noProof/>
          <w:color w:val="000000"/>
          <w:sz w:val="20"/>
          <w:szCs w:val="20"/>
        </w:rPr>
      </w:pPr>
    </w:p>
    <w:p w14:paraId="4A3B2247" w14:textId="77777777" w:rsidR="00CB4EBF" w:rsidRPr="001C431F" w:rsidRDefault="00CB4EBF" w:rsidP="00CB4EBF">
      <w:pPr>
        <w:spacing w:after="0"/>
        <w:jc w:val="both"/>
        <w:rPr>
          <w:rFonts w:eastAsia="Times New Roman" w:cs="Times New Roman"/>
          <w:iCs/>
          <w:sz w:val="20"/>
          <w:szCs w:val="20"/>
        </w:rPr>
      </w:pPr>
      <w:r>
        <w:rPr>
          <w:rFonts w:eastAsia="Times New Roman" w:cs="Times New Roman"/>
          <w:sz w:val="20"/>
          <w:szCs w:val="20"/>
          <w:lang w:val="hr"/>
        </w:rPr>
        <w:t>Glavni su čimbenici stalnog povećanja teritorijalnih razlika i slabog gospodarskog učinka sljedeći:</w:t>
      </w:r>
    </w:p>
    <w:p w14:paraId="599EEA4A" w14:textId="77777777" w:rsidR="00CB4EBF" w:rsidRPr="001C431F" w:rsidRDefault="00CB4EBF" w:rsidP="00CB4EBF">
      <w:pPr>
        <w:spacing w:after="0"/>
        <w:jc w:val="both"/>
        <w:rPr>
          <w:rFonts w:eastAsia="Times New Roman" w:cs="Times New Roman"/>
          <w:iCs/>
          <w:sz w:val="20"/>
          <w:szCs w:val="20"/>
        </w:rPr>
      </w:pPr>
      <w:r>
        <w:rPr>
          <w:rFonts w:eastAsia="Times New Roman" w:cs="Times New Roman"/>
          <w:sz w:val="20"/>
          <w:szCs w:val="20"/>
          <w:lang w:val="hr"/>
        </w:rPr>
        <w:t>- manjak kapitala za produktivna ulaganja u mala i srednja poduzeća,</w:t>
      </w:r>
    </w:p>
    <w:p w14:paraId="408EF352" w14:textId="77777777" w:rsidR="00CB4EBF" w:rsidRPr="001C431F" w:rsidRDefault="00CB4EBF" w:rsidP="00CB4EBF">
      <w:pPr>
        <w:spacing w:after="0"/>
        <w:jc w:val="both"/>
        <w:rPr>
          <w:rFonts w:eastAsia="Times New Roman" w:cs="Times New Roman"/>
          <w:iCs/>
          <w:sz w:val="20"/>
          <w:szCs w:val="20"/>
        </w:rPr>
      </w:pPr>
      <w:r>
        <w:rPr>
          <w:rFonts w:eastAsia="Times New Roman" w:cs="Times New Roman"/>
          <w:sz w:val="20"/>
          <w:szCs w:val="20"/>
          <w:lang w:val="hr"/>
        </w:rPr>
        <w:t>- niski omjeri produktivnosti i niska dodana vrijednost malih i srednjih poduzeća u pograničnom području,</w:t>
      </w:r>
    </w:p>
    <w:p w14:paraId="471973D8" w14:textId="77777777" w:rsidR="00CB4EBF" w:rsidRPr="001C431F" w:rsidRDefault="00CB4EBF" w:rsidP="00CB4EBF">
      <w:pPr>
        <w:spacing w:after="0"/>
        <w:jc w:val="both"/>
        <w:rPr>
          <w:rFonts w:eastAsia="Times New Roman" w:cs="Times New Roman"/>
          <w:iCs/>
          <w:sz w:val="20"/>
          <w:szCs w:val="20"/>
        </w:rPr>
      </w:pPr>
      <w:r>
        <w:rPr>
          <w:rFonts w:eastAsia="Times New Roman" w:cs="Times New Roman"/>
          <w:sz w:val="20"/>
          <w:szCs w:val="20"/>
          <w:lang w:val="hr"/>
        </w:rPr>
        <w:t>- slab izvozno-uvozni učinak, mnogo lošiji od odgovarajućih nacionalnih prosjeka s izrazito niskom prekograničnom trgovinom među poduzećima,</w:t>
      </w:r>
    </w:p>
    <w:p w14:paraId="367E0441" w14:textId="77777777" w:rsidR="00CB4EBF" w:rsidRDefault="00CB4EBF" w:rsidP="00CB4EBF">
      <w:pPr>
        <w:spacing w:after="0"/>
        <w:jc w:val="both"/>
        <w:rPr>
          <w:rFonts w:eastAsia="Times New Roman" w:cs="Times New Roman"/>
          <w:iCs/>
          <w:sz w:val="20"/>
          <w:szCs w:val="20"/>
        </w:rPr>
      </w:pPr>
      <w:r>
        <w:rPr>
          <w:rFonts w:eastAsia="Times New Roman" w:cs="Times New Roman"/>
          <w:sz w:val="20"/>
          <w:szCs w:val="20"/>
          <w:lang w:val="hr"/>
        </w:rPr>
        <w:t>- slaba inovacija u pograničnoj regiji, posebno u smislu istraživačko-razvojne aktivnosti poduzeća (</w:t>
      </w:r>
      <w:proofErr w:type="spellStart"/>
      <w:r>
        <w:rPr>
          <w:rFonts w:eastAsia="Times New Roman" w:cs="Times New Roman"/>
          <w:sz w:val="20"/>
          <w:szCs w:val="20"/>
          <w:lang w:val="hr"/>
        </w:rPr>
        <w:t>BERD</w:t>
      </w:r>
      <w:proofErr w:type="spellEnd"/>
      <w:r>
        <w:rPr>
          <w:rFonts w:eastAsia="Times New Roman" w:cs="Times New Roman"/>
          <w:sz w:val="20"/>
          <w:szCs w:val="20"/>
          <w:lang w:val="hr"/>
        </w:rPr>
        <w:t>),</w:t>
      </w:r>
    </w:p>
    <w:p w14:paraId="1B7602D7" w14:textId="77777777" w:rsidR="00CB4EBF" w:rsidRDefault="00CB4EBF" w:rsidP="00CB4EBF">
      <w:pPr>
        <w:spacing w:after="0"/>
        <w:jc w:val="both"/>
        <w:rPr>
          <w:rFonts w:eastAsia="Times New Roman" w:cs="Times New Roman"/>
          <w:iCs/>
          <w:sz w:val="20"/>
          <w:szCs w:val="20"/>
        </w:rPr>
      </w:pPr>
      <w:r>
        <w:rPr>
          <w:rFonts w:eastAsia="Times New Roman" w:cs="Times New Roman"/>
          <w:sz w:val="20"/>
          <w:szCs w:val="20"/>
          <w:lang w:val="hr"/>
        </w:rPr>
        <w:t>- jezične prepreke.</w:t>
      </w:r>
    </w:p>
    <w:p w14:paraId="1957A1B0" w14:textId="77777777" w:rsidR="00CB4EBF" w:rsidRPr="001C431F" w:rsidRDefault="00CB4EBF" w:rsidP="00CB4EBF">
      <w:pPr>
        <w:spacing w:after="0"/>
        <w:jc w:val="both"/>
        <w:rPr>
          <w:rFonts w:eastAsia="Times New Roman" w:cs="Times New Roman"/>
          <w:iCs/>
          <w:sz w:val="20"/>
          <w:szCs w:val="20"/>
        </w:rPr>
      </w:pPr>
    </w:p>
    <w:p w14:paraId="51E29D86" w14:textId="77777777" w:rsidR="00CB4EBF" w:rsidRDefault="00CB4EBF" w:rsidP="00CB4EBF">
      <w:pPr>
        <w:spacing w:after="0"/>
        <w:jc w:val="both"/>
        <w:rPr>
          <w:rFonts w:eastAsia="Times New Roman" w:cs="Times New Roman"/>
          <w:iCs/>
          <w:sz w:val="20"/>
          <w:szCs w:val="20"/>
        </w:rPr>
      </w:pPr>
      <w:r>
        <w:rPr>
          <w:rFonts w:eastAsia="Times New Roman" w:cs="Times New Roman"/>
          <w:sz w:val="20"/>
          <w:szCs w:val="20"/>
          <w:lang w:val="hr"/>
        </w:rPr>
        <w:t>Treba ojačati konkurentsku suradnju malih i srednjih poduzeća s dvije strane granice. To bi se trebalo provesti podržavanjem prekogranične trgovine industrijskim proizvodima i poticanjem prekograničnih poslovnih usluga, što će za posljedicu imati snažniji zajednički nastup na tržištima u kojima se nalaze pogranične regije i drugim tržištima. Osim poticanja prekograničnih trgovinskih aktivnosti trebao bi se promicati i inovativan razvoj proizvoda, usluga i tehnologije malih i srednjih poduzeća koja posluju u pograničnom području koji se temelji na suradnji i u kojem partnerska mala i srednja poduzeća imaju komplementarnu ulogu u zajedničkom inovativnom razvoju s jasnom podjelom zadataka u skladu s njihovim stručnim sposobnostima. Konkurentska prekogranična suradnja malih i srednjih poduzeća imat će pozitivan učinak na konkurentnost, stvaranje dodane vrijednosti i zaposlenost.</w:t>
      </w:r>
    </w:p>
    <w:p w14:paraId="7DC20D8B" w14:textId="77777777" w:rsidR="00CB4EBF" w:rsidRPr="001C431F" w:rsidRDefault="00CB4EBF" w:rsidP="00CB4EBF">
      <w:pPr>
        <w:spacing w:after="0"/>
        <w:jc w:val="both"/>
        <w:rPr>
          <w:rFonts w:eastAsia="Times New Roman" w:cs="Times New Roman"/>
          <w:iCs/>
          <w:sz w:val="20"/>
          <w:szCs w:val="20"/>
        </w:rPr>
      </w:pPr>
    </w:p>
    <w:p w14:paraId="188E94F8" w14:textId="77777777" w:rsidR="00CB4EBF" w:rsidRDefault="00CB4EBF" w:rsidP="00CB4EBF">
      <w:pPr>
        <w:spacing w:after="0"/>
        <w:jc w:val="both"/>
        <w:rPr>
          <w:rFonts w:eastAsia="Times New Roman" w:cs="Times New Roman"/>
          <w:iCs/>
          <w:sz w:val="20"/>
          <w:szCs w:val="20"/>
        </w:rPr>
      </w:pPr>
      <w:r>
        <w:rPr>
          <w:rFonts w:eastAsia="Times New Roman" w:cs="Times New Roman"/>
          <w:sz w:val="20"/>
          <w:szCs w:val="20"/>
          <w:lang w:val="hr"/>
        </w:rPr>
        <w:t>Budući da su lokalna mala i srednja poduzeća pokretačka snaga gospodarstva na programskom području, u planu je izrada posebne sheme potpore malim i srednjim poduzećima i njezina implementacija u pograničnom području, čime će se potaknuti suradnja malih i srednjih poduzeća koja djeluju s obiju strana granice. Ta shema treba biti osmišljena tako da se nadopunjava s glavnim shemama razvoja malih i srednjih poduzeća i uglavnom usmjerena na poticanje suradnje s dodanom vrijednošću među malim i srednjim poduzećima, čime bi se poboljšala njihova konkurentnost na domaćim i međunarodnim tržištima.</w:t>
      </w:r>
    </w:p>
    <w:p w14:paraId="30F5B128" w14:textId="77777777" w:rsidR="00CB4EBF" w:rsidRPr="001C431F" w:rsidRDefault="00CB4EBF" w:rsidP="00CB4EBF">
      <w:pPr>
        <w:spacing w:after="0"/>
        <w:jc w:val="both"/>
        <w:rPr>
          <w:rFonts w:eastAsia="Times New Roman" w:cs="Times New Roman"/>
          <w:iCs/>
          <w:sz w:val="20"/>
          <w:szCs w:val="20"/>
        </w:rPr>
      </w:pPr>
    </w:p>
    <w:p w14:paraId="5C9A14CF" w14:textId="77777777" w:rsidR="00CB4EBF" w:rsidRDefault="00CB4EBF" w:rsidP="00CB4EBF">
      <w:pPr>
        <w:spacing w:after="0"/>
        <w:jc w:val="both"/>
        <w:rPr>
          <w:rFonts w:eastAsia="Times New Roman" w:cs="Times New Roman"/>
          <w:iCs/>
          <w:sz w:val="20"/>
          <w:szCs w:val="20"/>
        </w:rPr>
      </w:pPr>
      <w:r>
        <w:rPr>
          <w:rFonts w:eastAsia="Times New Roman" w:cs="Times New Roman"/>
          <w:sz w:val="20"/>
          <w:szCs w:val="20"/>
          <w:lang w:val="hr"/>
        </w:rPr>
        <w:t>Poticanje konkurentske suradnje malih i srednjih poduzeća uključuje dva područja intervencije koja se provode putem otvorenih poziva usmjerenih na sljedeće</w:t>
      </w:r>
      <w:r>
        <w:rPr>
          <w:rStyle w:val="FootnoteReference"/>
          <w:rFonts w:eastAsia="Times New Roman" w:cs="Times New Roman"/>
          <w:sz w:val="20"/>
          <w:szCs w:val="20"/>
          <w:lang w:val="hr"/>
        </w:rPr>
        <w:footnoteReference w:id="3"/>
      </w:r>
      <w:r>
        <w:rPr>
          <w:rFonts w:eastAsia="Times New Roman" w:cs="Times New Roman"/>
          <w:sz w:val="20"/>
          <w:szCs w:val="20"/>
          <w:lang w:val="hr"/>
        </w:rPr>
        <w:t>:</w:t>
      </w:r>
    </w:p>
    <w:p w14:paraId="1E1D3BC4" w14:textId="77777777" w:rsidR="00CB4EBF" w:rsidRPr="001C431F" w:rsidRDefault="00CB4EBF" w:rsidP="00CB4EBF">
      <w:pPr>
        <w:spacing w:after="0"/>
        <w:jc w:val="both"/>
        <w:rPr>
          <w:rFonts w:eastAsia="Times New Roman" w:cs="Times New Roman"/>
          <w:iCs/>
          <w:sz w:val="20"/>
          <w:szCs w:val="20"/>
        </w:rPr>
      </w:pPr>
    </w:p>
    <w:p w14:paraId="628A9DA0" w14:textId="77777777" w:rsidR="00CB4EBF" w:rsidRPr="00455293" w:rsidRDefault="00CB4EBF" w:rsidP="00CB4EBF">
      <w:pPr>
        <w:pStyle w:val="ListParagraph"/>
        <w:numPr>
          <w:ilvl w:val="0"/>
          <w:numId w:val="33"/>
        </w:numPr>
        <w:spacing w:after="0"/>
        <w:jc w:val="both"/>
        <w:rPr>
          <w:rFonts w:cs="Times New Roman"/>
          <w:sz w:val="20"/>
          <w:szCs w:val="20"/>
        </w:rPr>
      </w:pPr>
      <w:r>
        <w:rPr>
          <w:rFonts w:cs="Times New Roman"/>
          <w:sz w:val="20"/>
          <w:szCs w:val="20"/>
          <w:lang w:val="hr"/>
        </w:rPr>
        <w:t xml:space="preserve">Poslovna suradnja malih i srednjih poduzeća: poticanje projekata poslovne suradnje s namjerom penetracije na strano tržište, tj. ulazak na tržište druge strane i prodaju na međunarodnoj razini u trećim zemljama. Projekti poslovne suradnje mogu biti usmjereni na postojeće proizvode ili usluge, a mogu i uključivati manja poboljšanja postojećih proizvoda ili usluga koji su potrebni za njihov uspješan izlazak na strana tržišta. U shemi poslovne suradnje preferiraju se zajednički projekti malih i srednjih poduzeća gdje postojeći proizvod ili usluga za prodaju ima dobro razrađenu analizu potražnje na tržištu, visok </w:t>
      </w:r>
      <w:r>
        <w:rPr>
          <w:rFonts w:cs="Times New Roman"/>
          <w:sz w:val="20"/>
          <w:szCs w:val="20"/>
          <w:lang w:val="hr"/>
        </w:rPr>
        <w:lastRenderedPageBreak/>
        <w:t>prodajni potencijal i u kojima si projektni partneri međusobno nude komplementarne usluge u lancu vrijednosti radi učinkovitije prodaje svojih proizvoda ili usluga na tržištu.</w:t>
      </w:r>
    </w:p>
    <w:p w14:paraId="7ACDF1A4" w14:textId="77777777" w:rsidR="00CB4EBF" w:rsidRPr="001C431F" w:rsidRDefault="00CB4EBF" w:rsidP="00CB4EBF">
      <w:pPr>
        <w:spacing w:after="0"/>
        <w:jc w:val="both"/>
        <w:rPr>
          <w:rFonts w:cs="Times New Roman"/>
          <w:sz w:val="20"/>
          <w:szCs w:val="20"/>
        </w:rPr>
      </w:pPr>
    </w:p>
    <w:p w14:paraId="49BC1DB5" w14:textId="77777777" w:rsidR="00CB4EBF" w:rsidRPr="00E23C4E" w:rsidRDefault="00CB4EBF" w:rsidP="00CB4EBF">
      <w:pPr>
        <w:pStyle w:val="ListParagraph"/>
        <w:numPr>
          <w:ilvl w:val="0"/>
          <w:numId w:val="33"/>
        </w:numPr>
        <w:spacing w:after="0"/>
        <w:jc w:val="both"/>
        <w:rPr>
          <w:rFonts w:cs="Times New Roman"/>
          <w:sz w:val="20"/>
          <w:szCs w:val="20"/>
        </w:rPr>
      </w:pPr>
      <w:r>
        <w:rPr>
          <w:rFonts w:cs="Times New Roman"/>
          <w:sz w:val="20"/>
          <w:szCs w:val="20"/>
          <w:lang w:val="hr"/>
        </w:rPr>
        <w:t>Zajednička inovacija malih i srednjih poduzeća – razvoj projekata zajedničke inovacije koji se temelje na zajedničkim nastojanjima da se ostvari inovacija proizvoda ili usluga koja predstavlja novitet na teritorijalnoj i/ili sektorskoj razini. Prednost treba dati projektima u kojima je suradnja u razvoju inovacija jasno objašnjena u prijedlogu, a razvoj bi bio nemoguć bez znanja i vještina svakog partnera u suradnji. U smislu zajedničkih projekata inovacije, i organizacije za poslovnu potporu i istraživanje i razvoj mogu se pridružiti suradničkim projektima malih i srednjih poduzeća ako proizvode inovativnu vrijednost koja se dodaje rezultatima projekta.</w:t>
      </w:r>
    </w:p>
    <w:p w14:paraId="50CC8FC8" w14:textId="77777777" w:rsidR="00CB4EBF" w:rsidRPr="001C431F" w:rsidRDefault="00CB4EBF" w:rsidP="00CB4EBF">
      <w:pPr>
        <w:spacing w:after="0"/>
        <w:jc w:val="both"/>
        <w:rPr>
          <w:rFonts w:cs="Times New Roman"/>
          <w:sz w:val="20"/>
          <w:szCs w:val="20"/>
        </w:rPr>
      </w:pPr>
    </w:p>
    <w:p w14:paraId="52B4BC21" w14:textId="77777777" w:rsidR="00CB4EBF" w:rsidRPr="004D6C36" w:rsidRDefault="00CB4EBF" w:rsidP="00CB4EBF">
      <w:pPr>
        <w:spacing w:after="0"/>
        <w:jc w:val="both"/>
        <w:rPr>
          <w:rFonts w:eastAsia="Times New Roman" w:cs="Times New Roman"/>
          <w:iCs/>
          <w:sz w:val="20"/>
          <w:szCs w:val="20"/>
        </w:rPr>
      </w:pPr>
      <w:r>
        <w:rPr>
          <w:rFonts w:cs="Times New Roman"/>
          <w:sz w:val="20"/>
          <w:szCs w:val="20"/>
          <w:lang w:val="hr"/>
        </w:rPr>
        <w:t>Radnje koje se trebaju podržati, među ostalim:</w:t>
      </w:r>
    </w:p>
    <w:p w14:paraId="7AA21AF9" w14:textId="77777777" w:rsidR="00CB4EBF" w:rsidRPr="00B04DD4" w:rsidRDefault="00CB4EBF" w:rsidP="00CB4EBF">
      <w:pPr>
        <w:pStyle w:val="ListParagraph"/>
        <w:numPr>
          <w:ilvl w:val="0"/>
          <w:numId w:val="9"/>
        </w:numPr>
        <w:spacing w:after="0"/>
        <w:jc w:val="both"/>
        <w:rPr>
          <w:rFonts w:cs="Times New Roman"/>
          <w:sz w:val="20"/>
          <w:szCs w:val="20"/>
        </w:rPr>
      </w:pPr>
      <w:r>
        <w:rPr>
          <w:rFonts w:cs="Times New Roman"/>
          <w:sz w:val="20"/>
          <w:szCs w:val="20"/>
          <w:lang w:val="hr"/>
        </w:rPr>
        <w:t xml:space="preserve">unutarnja i vanjska ljudska stručnost za zajednički razvoj proizvoda, tehnologije i usluga; </w:t>
      </w:r>
    </w:p>
    <w:p w14:paraId="37F1AC42" w14:textId="77777777" w:rsidR="00CB4EBF" w:rsidRPr="00B04DD4" w:rsidRDefault="00CB4EBF" w:rsidP="00CB4EBF">
      <w:pPr>
        <w:pStyle w:val="ListParagraph"/>
        <w:numPr>
          <w:ilvl w:val="0"/>
          <w:numId w:val="9"/>
        </w:numPr>
        <w:spacing w:after="0"/>
        <w:jc w:val="both"/>
        <w:rPr>
          <w:rFonts w:cs="Times New Roman"/>
          <w:sz w:val="20"/>
          <w:szCs w:val="20"/>
        </w:rPr>
      </w:pPr>
      <w:r>
        <w:rPr>
          <w:rFonts w:cs="Times New Roman"/>
          <w:sz w:val="20"/>
          <w:szCs w:val="20"/>
          <w:lang w:val="hr"/>
        </w:rPr>
        <w:t xml:space="preserve">aktivnosti za ulazak postojećih ili </w:t>
      </w:r>
      <w:proofErr w:type="spellStart"/>
      <w:r>
        <w:rPr>
          <w:rFonts w:cs="Times New Roman"/>
          <w:sz w:val="20"/>
          <w:szCs w:val="20"/>
          <w:lang w:val="hr"/>
        </w:rPr>
        <w:t>novorazvijenih</w:t>
      </w:r>
      <w:proofErr w:type="spellEnd"/>
      <w:r>
        <w:rPr>
          <w:rFonts w:cs="Times New Roman"/>
          <w:sz w:val="20"/>
          <w:szCs w:val="20"/>
          <w:lang w:val="hr"/>
        </w:rPr>
        <w:t xml:space="preserve"> proizvoda i usluga na međunarodna tržišta: istraživanja međunarodnog tržišta, nastupi na događanjima (sajmovi, seminari, radionice, konferencije), razvoj ili nadogradnja marketinških alata i materijala, ciljane promotivne akcije na internetu i u stvarnom životu;</w:t>
      </w:r>
    </w:p>
    <w:p w14:paraId="4D6A25BC" w14:textId="77777777" w:rsidR="00CB4EBF" w:rsidRPr="00B04DD4" w:rsidRDefault="00CB4EBF" w:rsidP="00CB4EBF">
      <w:pPr>
        <w:pStyle w:val="ListParagraph"/>
        <w:numPr>
          <w:ilvl w:val="0"/>
          <w:numId w:val="9"/>
        </w:numPr>
        <w:spacing w:after="0"/>
        <w:jc w:val="both"/>
        <w:rPr>
          <w:rFonts w:cs="Times New Roman"/>
          <w:sz w:val="20"/>
          <w:szCs w:val="20"/>
        </w:rPr>
      </w:pPr>
      <w:r>
        <w:rPr>
          <w:rFonts w:cs="Times New Roman"/>
          <w:sz w:val="20"/>
          <w:szCs w:val="20"/>
          <w:lang w:val="hr"/>
        </w:rPr>
        <w:t>razvoj proizvoda i usluga u raznim područjima;</w:t>
      </w:r>
    </w:p>
    <w:p w14:paraId="7C367B41" w14:textId="77777777" w:rsidR="00CB4EBF" w:rsidRPr="00B04DD4" w:rsidRDefault="00CB4EBF" w:rsidP="00CB4EBF">
      <w:pPr>
        <w:pStyle w:val="ListParagraph"/>
        <w:numPr>
          <w:ilvl w:val="0"/>
          <w:numId w:val="9"/>
        </w:numPr>
        <w:spacing w:after="0"/>
        <w:jc w:val="both"/>
        <w:rPr>
          <w:rFonts w:cs="Times New Roman"/>
          <w:sz w:val="20"/>
          <w:szCs w:val="20"/>
        </w:rPr>
      </w:pPr>
      <w:r>
        <w:rPr>
          <w:rFonts w:cs="Times New Roman"/>
          <w:sz w:val="20"/>
          <w:szCs w:val="20"/>
          <w:lang w:val="hr"/>
        </w:rPr>
        <w:t xml:space="preserve">organizacija osposobljavanja, seminara za unapređenje znanja o razvoju proizvoda ili usluga i nastupu na međunarodnom tržištu; </w:t>
      </w:r>
    </w:p>
    <w:p w14:paraId="51236446" w14:textId="77777777" w:rsidR="00CB4EBF" w:rsidRPr="00B04DD4" w:rsidRDefault="00CB4EBF" w:rsidP="00CB4EBF">
      <w:pPr>
        <w:pStyle w:val="ListParagraph"/>
        <w:numPr>
          <w:ilvl w:val="0"/>
          <w:numId w:val="9"/>
        </w:numPr>
        <w:spacing w:after="0"/>
        <w:jc w:val="both"/>
        <w:rPr>
          <w:rFonts w:cs="Times New Roman"/>
          <w:sz w:val="20"/>
          <w:szCs w:val="20"/>
        </w:rPr>
      </w:pPr>
      <w:r>
        <w:rPr>
          <w:rFonts w:cs="Times New Roman"/>
          <w:sz w:val="20"/>
          <w:szCs w:val="20"/>
          <w:lang w:val="hr"/>
        </w:rPr>
        <w:t>kupnja opreme za razvoj proizvoda ili usluga, premještaj, pakiranje i skladištenje proizvoda koji će se plasirati na međunarodnom tržištu;</w:t>
      </w:r>
    </w:p>
    <w:p w14:paraId="55CAAE6A" w14:textId="77777777" w:rsidR="00CB4EBF" w:rsidRPr="00B04DD4" w:rsidRDefault="00CB4EBF" w:rsidP="00CB4EBF">
      <w:pPr>
        <w:pStyle w:val="ListParagraph"/>
        <w:numPr>
          <w:ilvl w:val="0"/>
          <w:numId w:val="9"/>
        </w:numPr>
        <w:spacing w:after="0"/>
        <w:jc w:val="both"/>
        <w:rPr>
          <w:rFonts w:cs="Times New Roman"/>
          <w:sz w:val="20"/>
          <w:szCs w:val="20"/>
        </w:rPr>
      </w:pPr>
      <w:r>
        <w:rPr>
          <w:rFonts w:cs="Times New Roman"/>
          <w:sz w:val="20"/>
          <w:szCs w:val="20"/>
          <w:lang w:val="hr"/>
        </w:rPr>
        <w:t>razvoj, nabava i instalacija nove hardverske i softverske opreme;</w:t>
      </w:r>
    </w:p>
    <w:p w14:paraId="5B92024E" w14:textId="77777777" w:rsidR="00CB4EBF" w:rsidRPr="00B04DD4" w:rsidRDefault="00CB4EBF" w:rsidP="00CB4EBF">
      <w:pPr>
        <w:pStyle w:val="ListParagraph"/>
        <w:numPr>
          <w:ilvl w:val="0"/>
          <w:numId w:val="9"/>
        </w:numPr>
        <w:spacing w:after="0"/>
        <w:jc w:val="both"/>
        <w:rPr>
          <w:rFonts w:cs="Times New Roman"/>
          <w:sz w:val="20"/>
          <w:szCs w:val="20"/>
        </w:rPr>
      </w:pPr>
      <w:r>
        <w:rPr>
          <w:rFonts w:cs="Times New Roman"/>
          <w:sz w:val="20"/>
          <w:szCs w:val="20"/>
          <w:lang w:val="hr"/>
        </w:rPr>
        <w:t>kupnja nematerijalne dugotrajne imovine;</w:t>
      </w:r>
    </w:p>
    <w:p w14:paraId="0B6F5676" w14:textId="77777777" w:rsidR="00CB4EBF" w:rsidRPr="00B04DD4" w:rsidRDefault="00CB4EBF" w:rsidP="00CB4EBF">
      <w:pPr>
        <w:pStyle w:val="ListParagraph"/>
        <w:numPr>
          <w:ilvl w:val="0"/>
          <w:numId w:val="9"/>
        </w:numPr>
        <w:spacing w:after="0"/>
        <w:jc w:val="both"/>
        <w:rPr>
          <w:rFonts w:cs="Times New Roman"/>
          <w:sz w:val="20"/>
          <w:szCs w:val="20"/>
        </w:rPr>
      </w:pPr>
      <w:r>
        <w:rPr>
          <w:rFonts w:cs="Times New Roman"/>
          <w:sz w:val="20"/>
          <w:szCs w:val="20"/>
          <w:lang w:val="hr"/>
        </w:rPr>
        <w:t>razvoj i izgradnja infrastrukture, proširenje, restrukturiranje, obnova ili modernizacija izgradnje za pogonsku opremu za zajednički razvoj proizvoda ili usluga;</w:t>
      </w:r>
    </w:p>
    <w:p w14:paraId="4954A477" w14:textId="77777777" w:rsidR="00CB4EBF" w:rsidRPr="00B04DD4" w:rsidRDefault="00CB4EBF" w:rsidP="00CB4EBF">
      <w:pPr>
        <w:pStyle w:val="ListParagraph"/>
        <w:numPr>
          <w:ilvl w:val="0"/>
          <w:numId w:val="9"/>
        </w:numPr>
        <w:spacing w:after="0"/>
        <w:jc w:val="both"/>
        <w:rPr>
          <w:rFonts w:cs="Times New Roman"/>
          <w:sz w:val="20"/>
          <w:szCs w:val="20"/>
        </w:rPr>
      </w:pPr>
      <w:r>
        <w:rPr>
          <w:rFonts w:cs="Times New Roman"/>
          <w:sz w:val="20"/>
          <w:szCs w:val="20"/>
          <w:lang w:val="hr"/>
        </w:rPr>
        <w:t>uključivanje organizacija za poslovnu potporu i istraživanje i razvoj u zajedničku inovaciju malih i srednjih poduzeća;</w:t>
      </w:r>
    </w:p>
    <w:p w14:paraId="4F363A87" w14:textId="77777777" w:rsidR="00CB4EBF" w:rsidRPr="00B04DD4" w:rsidRDefault="00CB4EBF" w:rsidP="00CB4EBF">
      <w:pPr>
        <w:pStyle w:val="ListParagraph"/>
        <w:numPr>
          <w:ilvl w:val="0"/>
          <w:numId w:val="9"/>
        </w:numPr>
        <w:spacing w:after="0"/>
        <w:jc w:val="both"/>
        <w:rPr>
          <w:rFonts w:eastAsia="Times New Roman" w:cs="Times New Roman"/>
          <w:iCs/>
          <w:sz w:val="20"/>
          <w:szCs w:val="20"/>
        </w:rPr>
      </w:pPr>
      <w:r>
        <w:rPr>
          <w:rFonts w:cs="Times New Roman"/>
          <w:sz w:val="20"/>
          <w:szCs w:val="20"/>
          <w:lang w:val="hr"/>
        </w:rPr>
        <w:t>upravljanje projektom konkurentske suradnje malih i srednjih poduzeća.</w:t>
      </w:r>
    </w:p>
    <w:p w14:paraId="6E7029F4" w14:textId="77777777" w:rsidR="00CB4EBF" w:rsidRDefault="00CB4EBF" w:rsidP="00CB4EBF">
      <w:pPr>
        <w:spacing w:after="0"/>
        <w:jc w:val="both"/>
        <w:rPr>
          <w:rFonts w:cs="Times New Roman"/>
          <w:sz w:val="20"/>
          <w:szCs w:val="20"/>
        </w:rPr>
      </w:pPr>
    </w:p>
    <w:p w14:paraId="60065878" w14:textId="77777777" w:rsidR="00CB4EBF" w:rsidRPr="0018543A" w:rsidRDefault="00CB4EBF" w:rsidP="00CB4EBF">
      <w:pPr>
        <w:spacing w:after="0"/>
        <w:jc w:val="both"/>
        <w:rPr>
          <w:rFonts w:cs="Times New Roman"/>
          <w:sz w:val="20"/>
          <w:szCs w:val="20"/>
        </w:rPr>
      </w:pPr>
      <w:r>
        <w:rPr>
          <w:rFonts w:cs="Times New Roman"/>
          <w:sz w:val="20"/>
          <w:szCs w:val="20"/>
          <w:lang w:val="hr"/>
        </w:rPr>
        <w:t>Najvažnija načela za kriterije odabira, među ostalim, jesu:</w:t>
      </w:r>
    </w:p>
    <w:p w14:paraId="6E7CE3E9" w14:textId="77777777" w:rsidR="00CB4EBF" w:rsidRDefault="00CB4EBF" w:rsidP="00CB4EBF">
      <w:pPr>
        <w:pStyle w:val="ListParagraph"/>
        <w:numPr>
          <w:ilvl w:val="0"/>
          <w:numId w:val="9"/>
        </w:numPr>
        <w:spacing w:after="0"/>
        <w:jc w:val="both"/>
        <w:rPr>
          <w:rFonts w:cs="Times New Roman"/>
          <w:sz w:val="20"/>
          <w:szCs w:val="20"/>
        </w:rPr>
      </w:pPr>
      <w:r>
        <w:rPr>
          <w:rFonts w:cs="Times New Roman"/>
          <w:sz w:val="20"/>
          <w:szCs w:val="20"/>
          <w:lang w:val="hr"/>
        </w:rPr>
        <w:t>dosadašnje aktivnosti međunarodne suradnje malih i srednjih poduzeća;</w:t>
      </w:r>
    </w:p>
    <w:p w14:paraId="48404633" w14:textId="77777777" w:rsidR="00CB4EBF" w:rsidRDefault="00CB4EBF" w:rsidP="00CB4EBF">
      <w:pPr>
        <w:pStyle w:val="ListParagraph"/>
        <w:numPr>
          <w:ilvl w:val="0"/>
          <w:numId w:val="9"/>
        </w:numPr>
        <w:spacing w:after="0"/>
        <w:jc w:val="both"/>
        <w:rPr>
          <w:rFonts w:cs="Times New Roman"/>
          <w:sz w:val="20"/>
          <w:szCs w:val="20"/>
        </w:rPr>
      </w:pPr>
      <w:r>
        <w:rPr>
          <w:rFonts w:cs="Times New Roman"/>
          <w:sz w:val="20"/>
          <w:szCs w:val="20"/>
          <w:lang w:val="hr"/>
        </w:rPr>
        <w:t>komplementarnost i dodana vrijednost zajedničke suradnje malih i srednjih poduzeća;</w:t>
      </w:r>
    </w:p>
    <w:p w14:paraId="64D1E360" w14:textId="77777777" w:rsidR="00CB4EBF" w:rsidRDefault="00CB4EBF" w:rsidP="00CB4EBF">
      <w:pPr>
        <w:pStyle w:val="ListParagraph"/>
        <w:numPr>
          <w:ilvl w:val="0"/>
          <w:numId w:val="9"/>
        </w:numPr>
        <w:spacing w:after="0"/>
        <w:jc w:val="both"/>
        <w:rPr>
          <w:rFonts w:cs="Times New Roman"/>
          <w:sz w:val="20"/>
          <w:szCs w:val="20"/>
        </w:rPr>
      </w:pPr>
      <w:r>
        <w:rPr>
          <w:rFonts w:cs="Times New Roman"/>
          <w:sz w:val="20"/>
          <w:szCs w:val="20"/>
          <w:lang w:val="hr"/>
        </w:rPr>
        <w:t>inovativni sadržaj zajednički razvijenih proizvoda ili usluga;</w:t>
      </w:r>
    </w:p>
    <w:p w14:paraId="630CB356" w14:textId="77777777" w:rsidR="00CB4EBF" w:rsidRDefault="00CB4EBF" w:rsidP="00CB4EBF">
      <w:pPr>
        <w:pStyle w:val="ListParagraph"/>
        <w:numPr>
          <w:ilvl w:val="0"/>
          <w:numId w:val="9"/>
        </w:numPr>
        <w:spacing w:after="0"/>
        <w:jc w:val="both"/>
        <w:rPr>
          <w:rFonts w:cs="Times New Roman"/>
          <w:sz w:val="20"/>
          <w:szCs w:val="20"/>
        </w:rPr>
      </w:pPr>
      <w:r>
        <w:rPr>
          <w:rFonts w:cs="Times New Roman"/>
          <w:sz w:val="20"/>
          <w:szCs w:val="20"/>
          <w:lang w:val="hr"/>
        </w:rPr>
        <w:t>tržišna potražnja za proizvodima ili uslugama koje će se razviti;</w:t>
      </w:r>
    </w:p>
    <w:p w14:paraId="7948E5CC" w14:textId="77777777" w:rsidR="00CB4EBF" w:rsidRPr="00B04DD4" w:rsidRDefault="00CB4EBF" w:rsidP="00CB4EBF">
      <w:pPr>
        <w:pStyle w:val="ListParagraph"/>
        <w:numPr>
          <w:ilvl w:val="0"/>
          <w:numId w:val="9"/>
        </w:numPr>
        <w:spacing w:after="0"/>
        <w:jc w:val="both"/>
        <w:rPr>
          <w:rFonts w:cs="Times New Roman"/>
          <w:sz w:val="20"/>
          <w:szCs w:val="20"/>
        </w:rPr>
      </w:pPr>
      <w:r>
        <w:rPr>
          <w:rFonts w:cs="Times New Roman"/>
          <w:sz w:val="20"/>
          <w:szCs w:val="20"/>
          <w:lang w:val="hr"/>
        </w:rPr>
        <w:t>djelotvornost promocije proizvoda ili usluga koji će ući na međusobno i/ili treća tržišta.</w:t>
      </w:r>
    </w:p>
    <w:p w14:paraId="7CA4B11A" w14:textId="77777777" w:rsidR="00CB4EBF" w:rsidRDefault="00CB4EBF" w:rsidP="00CB4EBF">
      <w:pPr>
        <w:spacing w:after="0"/>
        <w:jc w:val="both"/>
        <w:rPr>
          <w:rFonts w:cs="Times New Roman"/>
          <w:sz w:val="20"/>
          <w:szCs w:val="20"/>
        </w:rPr>
      </w:pPr>
    </w:p>
    <w:p w14:paraId="552B2529"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r>
        <w:rPr>
          <w:rFonts w:eastAsia="Times New Roman" w:cs="Times New Roman"/>
          <w:b/>
          <w:bCs/>
          <w:noProof/>
          <w:sz w:val="20"/>
          <w:szCs w:val="20"/>
          <w:lang w:val="hr"/>
        </w:rPr>
        <w:t>Pokazatelji</w:t>
      </w:r>
      <w:r>
        <w:rPr>
          <w:rStyle w:val="FootnoteReference"/>
          <w:rFonts w:eastAsia="Times New Roman" w:cs="Times New Roman"/>
          <w:b/>
          <w:bCs/>
          <w:noProof/>
          <w:sz w:val="20"/>
          <w:szCs w:val="20"/>
          <w:lang w:val="hr"/>
        </w:rPr>
        <w:footnoteReference w:id="4"/>
      </w:r>
    </w:p>
    <w:p w14:paraId="733D7354"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i/>
          <w:iCs/>
          <w:noProof/>
          <w:color w:val="000000"/>
          <w:sz w:val="20"/>
          <w:szCs w:val="20"/>
          <w:lang w:val="hr"/>
        </w:rPr>
        <w:t>Upućivanje: članak 17. stavak 3. točka (e) podtočka ii., članak 17. stavak 9. točka (c) podtočka iii.</w:t>
      </w:r>
    </w:p>
    <w:p w14:paraId="177E4AC4" w14:textId="77777777" w:rsidR="00CB4EBF" w:rsidRPr="001C431F" w:rsidRDefault="00CB4EBF" w:rsidP="00CB4EBF">
      <w:pPr>
        <w:spacing w:after="0" w:line="240" w:lineRule="auto"/>
        <w:rPr>
          <w:rFonts w:eastAsia="Times New Roman" w:cs="Times New Roman"/>
          <w:iCs/>
          <w:noProof/>
          <w:sz w:val="20"/>
          <w:szCs w:val="20"/>
        </w:rPr>
      </w:pPr>
      <w:r>
        <w:rPr>
          <w:rFonts w:eastAsia="Times New Roman" w:cs="Times New Roman"/>
          <w:noProof/>
          <w:sz w:val="20"/>
          <w:szCs w:val="20"/>
          <w:lang w:val="hr"/>
        </w:rPr>
        <w:t>Tablica 2.: Pokazatelji ostvarenja</w:t>
      </w: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1050"/>
        <w:gridCol w:w="883"/>
        <w:gridCol w:w="2022"/>
        <w:gridCol w:w="2122"/>
        <w:gridCol w:w="1020"/>
        <w:gridCol w:w="1128"/>
      </w:tblGrid>
      <w:tr w:rsidR="00CB4EBF" w:rsidRPr="00A23750" w14:paraId="5BB74C00" w14:textId="77777777" w:rsidTr="0054762C">
        <w:trPr>
          <w:trHeight w:val="836"/>
        </w:trPr>
        <w:tc>
          <w:tcPr>
            <w:tcW w:w="487" w:type="pct"/>
          </w:tcPr>
          <w:p w14:paraId="6306EE62"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 xml:space="preserve">Prioritet </w:t>
            </w:r>
          </w:p>
        </w:tc>
        <w:tc>
          <w:tcPr>
            <w:tcW w:w="536" w:type="pct"/>
          </w:tcPr>
          <w:p w14:paraId="1BF413C0"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Specifični cilj</w:t>
            </w:r>
          </w:p>
        </w:tc>
        <w:tc>
          <w:tcPr>
            <w:tcW w:w="342" w:type="pct"/>
          </w:tcPr>
          <w:p w14:paraId="7DA660AC"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Oznaka</w:t>
            </w:r>
          </w:p>
          <w:p w14:paraId="72D7A1F7"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[5]</w:t>
            </w:r>
          </w:p>
        </w:tc>
        <w:tc>
          <w:tcPr>
            <w:tcW w:w="1153" w:type="pct"/>
            <w:shd w:val="clear" w:color="auto" w:fill="auto"/>
          </w:tcPr>
          <w:p w14:paraId="556D67C2"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 xml:space="preserve">Pokazatelj </w:t>
            </w:r>
          </w:p>
        </w:tc>
        <w:tc>
          <w:tcPr>
            <w:tcW w:w="1208" w:type="pct"/>
          </w:tcPr>
          <w:p w14:paraId="61324E06"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Mjerna jedinica</w:t>
            </w:r>
          </w:p>
          <w:p w14:paraId="61E82022"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[255]</w:t>
            </w:r>
          </w:p>
        </w:tc>
        <w:tc>
          <w:tcPr>
            <w:tcW w:w="607" w:type="pct"/>
            <w:shd w:val="clear" w:color="auto" w:fill="auto"/>
          </w:tcPr>
          <w:p w14:paraId="21259E08" w14:textId="77777777" w:rsidR="00CB4EBF" w:rsidRPr="00455293" w:rsidRDefault="00CB4EBF" w:rsidP="0054762C">
            <w:pPr>
              <w:spacing w:after="0" w:line="240" w:lineRule="auto"/>
              <w:jc w:val="both"/>
              <w:rPr>
                <w:rFonts w:cs="Times New Roman"/>
                <w:b/>
                <w:noProof/>
                <w:sz w:val="20"/>
                <w:szCs w:val="20"/>
              </w:rPr>
            </w:pPr>
            <w:r>
              <w:rPr>
                <w:rFonts w:cs="Times New Roman"/>
                <w:b/>
                <w:bCs/>
                <w:noProof/>
                <w:sz w:val="20"/>
                <w:szCs w:val="20"/>
                <w:lang w:val="hr"/>
              </w:rPr>
              <w:t>Ključna etapa (2024.)</w:t>
            </w:r>
          </w:p>
          <w:p w14:paraId="3B2C5F0A" w14:textId="77777777" w:rsidR="00CB4EBF" w:rsidRPr="00455293" w:rsidRDefault="00CB4EBF" w:rsidP="0054762C">
            <w:pPr>
              <w:spacing w:after="0" w:line="240" w:lineRule="auto"/>
              <w:jc w:val="both"/>
              <w:rPr>
                <w:rFonts w:cs="Times New Roman"/>
                <w:b/>
                <w:noProof/>
                <w:sz w:val="20"/>
                <w:szCs w:val="20"/>
              </w:rPr>
            </w:pPr>
            <w:r>
              <w:rPr>
                <w:rFonts w:cs="Times New Roman"/>
                <w:b/>
                <w:bCs/>
                <w:noProof/>
                <w:sz w:val="20"/>
                <w:szCs w:val="20"/>
                <w:lang w:val="hr"/>
              </w:rPr>
              <w:t>[200]</w:t>
            </w:r>
          </w:p>
        </w:tc>
        <w:tc>
          <w:tcPr>
            <w:tcW w:w="667" w:type="pct"/>
            <w:shd w:val="clear" w:color="auto" w:fill="auto"/>
          </w:tcPr>
          <w:p w14:paraId="3046DD13" w14:textId="77777777" w:rsidR="00CB4EBF" w:rsidRPr="00455293" w:rsidRDefault="00CB4EBF" w:rsidP="0054762C">
            <w:pPr>
              <w:spacing w:after="0" w:line="240" w:lineRule="auto"/>
              <w:jc w:val="both"/>
              <w:rPr>
                <w:rFonts w:cs="Times New Roman"/>
                <w:b/>
                <w:noProof/>
                <w:sz w:val="20"/>
                <w:szCs w:val="20"/>
              </w:rPr>
            </w:pPr>
            <w:r>
              <w:rPr>
                <w:rFonts w:cs="Times New Roman"/>
                <w:b/>
                <w:bCs/>
                <w:noProof/>
                <w:sz w:val="20"/>
                <w:szCs w:val="20"/>
                <w:lang w:val="hr"/>
              </w:rPr>
              <w:t>Konačna ciljna vrijednost (2029.)</w:t>
            </w:r>
          </w:p>
          <w:p w14:paraId="299BDE99" w14:textId="77777777" w:rsidR="00CB4EBF" w:rsidRPr="00455293" w:rsidRDefault="00CB4EBF" w:rsidP="0054762C">
            <w:pPr>
              <w:spacing w:after="0" w:line="240" w:lineRule="auto"/>
              <w:jc w:val="both"/>
              <w:rPr>
                <w:rFonts w:cs="Times New Roman"/>
                <w:b/>
                <w:noProof/>
                <w:sz w:val="20"/>
                <w:szCs w:val="20"/>
              </w:rPr>
            </w:pPr>
            <w:r>
              <w:rPr>
                <w:rFonts w:cs="Times New Roman"/>
                <w:b/>
                <w:bCs/>
                <w:noProof/>
                <w:sz w:val="20"/>
                <w:szCs w:val="20"/>
                <w:lang w:val="hr"/>
              </w:rPr>
              <w:t>[200]</w:t>
            </w:r>
          </w:p>
        </w:tc>
      </w:tr>
      <w:tr w:rsidR="00CB4EBF" w:rsidRPr="00A23750" w14:paraId="10B9ABB8" w14:textId="77777777" w:rsidTr="0054762C">
        <w:trPr>
          <w:trHeight w:val="579"/>
        </w:trPr>
        <w:tc>
          <w:tcPr>
            <w:tcW w:w="487" w:type="pct"/>
          </w:tcPr>
          <w:p w14:paraId="21EB9396" w14:textId="77777777" w:rsidR="00CB4EBF" w:rsidRPr="001C431F" w:rsidRDefault="00CB4EBF" w:rsidP="0054762C">
            <w:pPr>
              <w:spacing w:after="0" w:line="240" w:lineRule="auto"/>
              <w:jc w:val="center"/>
              <w:rPr>
                <w:rFonts w:cs="Times New Roman"/>
                <w:bCs/>
                <w:iCs/>
                <w:sz w:val="20"/>
                <w:szCs w:val="20"/>
              </w:rPr>
            </w:pPr>
            <w:r>
              <w:rPr>
                <w:rFonts w:cs="Times New Roman"/>
                <w:sz w:val="20"/>
                <w:szCs w:val="20"/>
                <w:lang w:val="hr"/>
              </w:rPr>
              <w:t>1.</w:t>
            </w:r>
          </w:p>
        </w:tc>
        <w:tc>
          <w:tcPr>
            <w:tcW w:w="536" w:type="pct"/>
          </w:tcPr>
          <w:p w14:paraId="6589B76F" w14:textId="77777777" w:rsidR="00CB4EBF" w:rsidRPr="001C431F" w:rsidRDefault="00CB4EBF" w:rsidP="0054762C">
            <w:pPr>
              <w:spacing w:after="0" w:line="240" w:lineRule="auto"/>
              <w:jc w:val="both"/>
              <w:rPr>
                <w:rFonts w:cs="Times New Roman"/>
                <w:bCs/>
                <w:iCs/>
                <w:sz w:val="20"/>
                <w:szCs w:val="20"/>
              </w:rPr>
            </w:pPr>
            <w:r>
              <w:rPr>
                <w:rFonts w:eastAsia="Times New Roman" w:cs="Times New Roman"/>
                <w:noProof/>
                <w:sz w:val="20"/>
                <w:szCs w:val="20"/>
                <w:lang w:val="hr"/>
              </w:rPr>
              <w:t>SO 1.3</w:t>
            </w:r>
          </w:p>
        </w:tc>
        <w:tc>
          <w:tcPr>
            <w:tcW w:w="342" w:type="pct"/>
          </w:tcPr>
          <w:p w14:paraId="6F4F0446" w14:textId="77777777" w:rsidR="00CB4EBF" w:rsidRPr="001C431F" w:rsidRDefault="00CB4EBF" w:rsidP="0054762C">
            <w:pPr>
              <w:spacing w:after="0" w:line="240" w:lineRule="auto"/>
              <w:jc w:val="both"/>
              <w:rPr>
                <w:rFonts w:cs="Times New Roman"/>
                <w:bCs/>
                <w:iCs/>
                <w:sz w:val="20"/>
                <w:szCs w:val="20"/>
              </w:rPr>
            </w:pPr>
            <w:proofErr w:type="spellStart"/>
            <w:r>
              <w:rPr>
                <w:rFonts w:cs="Times New Roman"/>
                <w:sz w:val="20"/>
                <w:szCs w:val="20"/>
                <w:lang w:val="hr"/>
              </w:rPr>
              <w:t>RCO</w:t>
            </w:r>
            <w:proofErr w:type="spellEnd"/>
            <w:r>
              <w:rPr>
                <w:rFonts w:cs="Times New Roman"/>
                <w:sz w:val="20"/>
                <w:szCs w:val="20"/>
                <w:lang w:val="hr"/>
              </w:rPr>
              <w:t xml:space="preserve"> 01</w:t>
            </w:r>
          </w:p>
        </w:tc>
        <w:tc>
          <w:tcPr>
            <w:tcW w:w="1153" w:type="pct"/>
            <w:shd w:val="clear" w:color="auto" w:fill="auto"/>
          </w:tcPr>
          <w:p w14:paraId="4563E14C" w14:textId="77777777" w:rsidR="00CB4EBF" w:rsidRPr="001C431F" w:rsidRDefault="00CB4EBF" w:rsidP="0054762C">
            <w:pPr>
              <w:spacing w:after="0" w:line="240" w:lineRule="auto"/>
              <w:rPr>
                <w:rFonts w:cs="Times New Roman"/>
                <w:bCs/>
                <w:iCs/>
                <w:sz w:val="20"/>
                <w:szCs w:val="20"/>
              </w:rPr>
            </w:pPr>
            <w:r>
              <w:rPr>
                <w:rFonts w:cs="Times New Roman"/>
                <w:sz w:val="20"/>
                <w:szCs w:val="20"/>
                <w:lang w:val="hr"/>
              </w:rPr>
              <w:t>Poduzeća koja su primila potporu (od kojih: mikro, mala, srednja, velika)</w:t>
            </w:r>
          </w:p>
        </w:tc>
        <w:tc>
          <w:tcPr>
            <w:tcW w:w="1208" w:type="pct"/>
          </w:tcPr>
          <w:p w14:paraId="23C701CB" w14:textId="77777777" w:rsidR="00CB4EBF" w:rsidRPr="001C431F" w:rsidRDefault="00CB4EBF" w:rsidP="0054762C">
            <w:pPr>
              <w:spacing w:after="0" w:line="240" w:lineRule="auto"/>
              <w:rPr>
                <w:rFonts w:cs="Times New Roman"/>
                <w:bCs/>
                <w:iCs/>
                <w:sz w:val="20"/>
                <w:szCs w:val="20"/>
              </w:rPr>
            </w:pPr>
            <w:r>
              <w:rPr>
                <w:rFonts w:cs="Times New Roman"/>
                <w:sz w:val="20"/>
                <w:szCs w:val="20"/>
                <w:lang w:val="hr"/>
              </w:rPr>
              <w:t>poduzeća</w:t>
            </w:r>
          </w:p>
        </w:tc>
        <w:tc>
          <w:tcPr>
            <w:tcW w:w="607" w:type="pct"/>
            <w:shd w:val="clear" w:color="auto" w:fill="auto"/>
          </w:tcPr>
          <w:p w14:paraId="249C92C7" w14:textId="77777777" w:rsidR="00CB4EBF" w:rsidRPr="001C431F" w:rsidRDefault="00CB4EBF" w:rsidP="0054762C">
            <w:pPr>
              <w:spacing w:after="0" w:line="240" w:lineRule="auto"/>
              <w:jc w:val="center"/>
              <w:rPr>
                <w:rFonts w:cs="Times New Roman"/>
                <w:bCs/>
                <w:iCs/>
                <w:sz w:val="20"/>
                <w:szCs w:val="20"/>
              </w:rPr>
            </w:pPr>
            <w:r>
              <w:rPr>
                <w:rFonts w:cs="Times New Roman"/>
                <w:sz w:val="20"/>
                <w:szCs w:val="20"/>
                <w:lang w:val="hr"/>
              </w:rPr>
              <w:t>0</w:t>
            </w:r>
          </w:p>
        </w:tc>
        <w:tc>
          <w:tcPr>
            <w:tcW w:w="667" w:type="pct"/>
            <w:shd w:val="clear" w:color="auto" w:fill="auto"/>
          </w:tcPr>
          <w:p w14:paraId="25B7A174" w14:textId="77777777" w:rsidR="00CB4EBF" w:rsidRPr="001C431F" w:rsidRDefault="00CB4EBF" w:rsidP="0054762C">
            <w:pPr>
              <w:spacing w:after="0" w:line="240" w:lineRule="auto"/>
              <w:jc w:val="center"/>
              <w:rPr>
                <w:rFonts w:cs="Times New Roman"/>
                <w:bCs/>
                <w:iCs/>
                <w:sz w:val="20"/>
                <w:szCs w:val="20"/>
              </w:rPr>
            </w:pPr>
            <w:r>
              <w:rPr>
                <w:rFonts w:cs="Times New Roman"/>
                <w:sz w:val="20"/>
                <w:szCs w:val="20"/>
                <w:lang w:val="hr"/>
              </w:rPr>
              <w:t>72</w:t>
            </w:r>
          </w:p>
        </w:tc>
      </w:tr>
      <w:tr w:rsidR="00CB4EBF" w:rsidRPr="00A23750" w:rsidDel="0021120B" w14:paraId="02F40011" w14:textId="77777777" w:rsidTr="0054762C">
        <w:trPr>
          <w:trHeight w:val="579"/>
        </w:trPr>
        <w:tc>
          <w:tcPr>
            <w:tcW w:w="488" w:type="pct"/>
          </w:tcPr>
          <w:p w14:paraId="3DFD7DBF" w14:textId="77777777" w:rsidR="00CB4EBF" w:rsidRPr="001C431F" w:rsidDel="0021120B" w:rsidRDefault="00CB4EBF" w:rsidP="0054762C">
            <w:pPr>
              <w:spacing w:after="0" w:line="240" w:lineRule="auto"/>
              <w:jc w:val="center"/>
              <w:rPr>
                <w:rFonts w:cs="Times New Roman"/>
                <w:bCs/>
                <w:iCs/>
                <w:sz w:val="20"/>
                <w:szCs w:val="20"/>
              </w:rPr>
            </w:pPr>
            <w:r>
              <w:rPr>
                <w:rFonts w:cs="Times New Roman"/>
                <w:sz w:val="20"/>
                <w:szCs w:val="20"/>
                <w:lang w:val="hr"/>
              </w:rPr>
              <w:t>1.</w:t>
            </w:r>
          </w:p>
        </w:tc>
        <w:tc>
          <w:tcPr>
            <w:tcW w:w="536" w:type="pct"/>
          </w:tcPr>
          <w:p w14:paraId="40CDE24D" w14:textId="77777777" w:rsidR="00CB4EBF" w:rsidRPr="001C431F" w:rsidDel="009E73B6" w:rsidRDefault="00CB4EBF" w:rsidP="0054762C">
            <w:pPr>
              <w:spacing w:after="0" w:line="240" w:lineRule="auto"/>
              <w:jc w:val="both"/>
              <w:rPr>
                <w:rFonts w:cs="Times New Roman"/>
                <w:bCs/>
                <w:iCs/>
                <w:sz w:val="20"/>
                <w:szCs w:val="20"/>
              </w:rPr>
            </w:pPr>
            <w:r>
              <w:rPr>
                <w:rFonts w:cs="Times New Roman"/>
                <w:sz w:val="20"/>
                <w:szCs w:val="20"/>
                <w:lang w:val="hr"/>
              </w:rPr>
              <w:t>SO 1.3</w:t>
            </w:r>
          </w:p>
        </w:tc>
        <w:tc>
          <w:tcPr>
            <w:tcW w:w="342" w:type="pct"/>
          </w:tcPr>
          <w:p w14:paraId="356F7C9D" w14:textId="77777777" w:rsidR="00CB4EBF" w:rsidRPr="001C431F" w:rsidDel="0021120B" w:rsidRDefault="00CB4EBF" w:rsidP="0054762C">
            <w:pPr>
              <w:spacing w:after="0" w:line="240" w:lineRule="auto"/>
              <w:jc w:val="both"/>
              <w:rPr>
                <w:rFonts w:cs="Times New Roman"/>
                <w:bCs/>
                <w:iCs/>
                <w:sz w:val="20"/>
                <w:szCs w:val="20"/>
              </w:rPr>
            </w:pPr>
            <w:proofErr w:type="spellStart"/>
            <w:r>
              <w:rPr>
                <w:rFonts w:cs="Times New Roman"/>
                <w:sz w:val="20"/>
                <w:szCs w:val="20"/>
                <w:lang w:val="hr"/>
              </w:rPr>
              <w:t>RCO</w:t>
            </w:r>
            <w:proofErr w:type="spellEnd"/>
            <w:r>
              <w:rPr>
                <w:rFonts w:cs="Times New Roman"/>
                <w:sz w:val="20"/>
                <w:szCs w:val="20"/>
                <w:lang w:val="hr"/>
              </w:rPr>
              <w:t xml:space="preserve"> 87</w:t>
            </w:r>
          </w:p>
        </w:tc>
        <w:tc>
          <w:tcPr>
            <w:tcW w:w="1153" w:type="pct"/>
            <w:shd w:val="clear" w:color="auto" w:fill="auto"/>
          </w:tcPr>
          <w:p w14:paraId="110C684F" w14:textId="77777777" w:rsidR="00CB4EBF" w:rsidRPr="001C431F" w:rsidDel="0021120B" w:rsidRDefault="00CB4EBF" w:rsidP="0054762C">
            <w:pPr>
              <w:spacing w:after="0" w:line="240" w:lineRule="auto"/>
              <w:rPr>
                <w:rFonts w:cs="Times New Roman"/>
                <w:bCs/>
                <w:iCs/>
                <w:sz w:val="20"/>
                <w:szCs w:val="20"/>
              </w:rPr>
            </w:pPr>
            <w:r>
              <w:rPr>
                <w:rFonts w:cs="Times New Roman"/>
                <w:sz w:val="20"/>
                <w:szCs w:val="20"/>
                <w:lang w:val="hr"/>
              </w:rPr>
              <w:t>Organizacije koje surađuju preko granica</w:t>
            </w:r>
          </w:p>
        </w:tc>
        <w:tc>
          <w:tcPr>
            <w:tcW w:w="1208" w:type="pct"/>
          </w:tcPr>
          <w:p w14:paraId="240A46F0" w14:textId="77777777" w:rsidR="00CB4EBF" w:rsidRPr="001C431F" w:rsidDel="0021120B" w:rsidRDefault="00CB4EBF" w:rsidP="0054762C">
            <w:pPr>
              <w:spacing w:after="0" w:line="240" w:lineRule="auto"/>
              <w:rPr>
                <w:rFonts w:cs="Times New Roman"/>
                <w:bCs/>
                <w:iCs/>
                <w:sz w:val="20"/>
                <w:szCs w:val="20"/>
              </w:rPr>
            </w:pPr>
            <w:r>
              <w:rPr>
                <w:rFonts w:cs="Times New Roman"/>
                <w:sz w:val="20"/>
                <w:szCs w:val="20"/>
                <w:lang w:val="hr"/>
              </w:rPr>
              <w:t>organizacije</w:t>
            </w:r>
          </w:p>
        </w:tc>
        <w:tc>
          <w:tcPr>
            <w:tcW w:w="607" w:type="pct"/>
            <w:shd w:val="clear" w:color="auto" w:fill="auto"/>
          </w:tcPr>
          <w:p w14:paraId="39502D6B" w14:textId="77777777" w:rsidR="00CB4EBF" w:rsidRPr="001C431F" w:rsidDel="00F41B60" w:rsidRDefault="00CB4EBF" w:rsidP="0054762C">
            <w:pPr>
              <w:spacing w:after="0" w:line="240" w:lineRule="auto"/>
              <w:jc w:val="center"/>
              <w:rPr>
                <w:rFonts w:cs="Times New Roman"/>
                <w:bCs/>
                <w:iCs/>
                <w:sz w:val="20"/>
                <w:szCs w:val="20"/>
              </w:rPr>
            </w:pPr>
            <w:r>
              <w:rPr>
                <w:rFonts w:cs="Times New Roman"/>
                <w:sz w:val="20"/>
                <w:szCs w:val="20"/>
                <w:lang w:val="hr"/>
              </w:rPr>
              <w:t>0</w:t>
            </w:r>
          </w:p>
        </w:tc>
        <w:tc>
          <w:tcPr>
            <w:tcW w:w="667" w:type="pct"/>
            <w:shd w:val="clear" w:color="auto" w:fill="auto"/>
          </w:tcPr>
          <w:p w14:paraId="53EB3F9B" w14:textId="77777777" w:rsidR="00CB4EBF" w:rsidRPr="001C431F" w:rsidDel="00F41B60" w:rsidRDefault="00CB4EBF" w:rsidP="0054762C">
            <w:pPr>
              <w:spacing w:after="0" w:line="240" w:lineRule="auto"/>
              <w:jc w:val="center"/>
              <w:rPr>
                <w:rFonts w:cs="Times New Roman"/>
                <w:bCs/>
                <w:iCs/>
                <w:sz w:val="20"/>
                <w:szCs w:val="20"/>
              </w:rPr>
            </w:pPr>
            <w:r>
              <w:rPr>
                <w:rFonts w:cs="Times New Roman"/>
                <w:sz w:val="20"/>
                <w:szCs w:val="20"/>
                <w:lang w:val="hr"/>
              </w:rPr>
              <w:t>72</w:t>
            </w:r>
          </w:p>
        </w:tc>
      </w:tr>
    </w:tbl>
    <w:p w14:paraId="65B34F16" w14:textId="77777777" w:rsidR="00CB4EBF" w:rsidRPr="001C431F" w:rsidRDefault="00CB4EBF" w:rsidP="00CB4EBF">
      <w:pPr>
        <w:spacing w:after="0" w:line="240" w:lineRule="auto"/>
        <w:rPr>
          <w:rFonts w:eastAsia="Times New Roman" w:cs="Times New Roman"/>
          <w:iCs/>
          <w:noProof/>
          <w:sz w:val="20"/>
          <w:szCs w:val="20"/>
        </w:rPr>
      </w:pPr>
    </w:p>
    <w:p w14:paraId="2AEDE0B4" w14:textId="77777777" w:rsidR="00CB4EBF" w:rsidRPr="001C431F" w:rsidRDefault="00CB4EBF" w:rsidP="00CB4EBF">
      <w:pPr>
        <w:keepNext/>
        <w:spacing w:after="0" w:line="240" w:lineRule="auto"/>
        <w:rPr>
          <w:rFonts w:eastAsia="Times New Roman" w:cs="Times New Roman"/>
          <w:iCs/>
          <w:noProof/>
          <w:sz w:val="20"/>
          <w:szCs w:val="20"/>
        </w:rPr>
      </w:pPr>
      <w:r>
        <w:rPr>
          <w:rFonts w:eastAsia="Times New Roman" w:cs="Times New Roman"/>
          <w:noProof/>
          <w:sz w:val="20"/>
          <w:szCs w:val="20"/>
          <w:lang w:val="hr"/>
        </w:rPr>
        <w:t>Tablica 3.: Pokazatelji rezultata</w:t>
      </w:r>
    </w:p>
    <w:tbl>
      <w:tblPr>
        <w:tblW w:w="56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983"/>
        <w:gridCol w:w="615"/>
        <w:gridCol w:w="1327"/>
        <w:gridCol w:w="1136"/>
        <w:gridCol w:w="734"/>
        <w:gridCol w:w="1071"/>
        <w:gridCol w:w="751"/>
        <w:gridCol w:w="1604"/>
        <w:gridCol w:w="1140"/>
      </w:tblGrid>
      <w:tr w:rsidR="00CB4EBF" w:rsidRPr="00A23750" w14:paraId="3CC05FBA" w14:textId="77777777" w:rsidTr="0054762C">
        <w:trPr>
          <w:trHeight w:val="947"/>
        </w:trPr>
        <w:tc>
          <w:tcPr>
            <w:tcW w:w="436" w:type="pct"/>
          </w:tcPr>
          <w:p w14:paraId="02D21E7B" w14:textId="77777777" w:rsidR="00CB4EBF" w:rsidRPr="001C431F" w:rsidRDefault="00CB4EBF" w:rsidP="0054762C">
            <w:pPr>
              <w:keepNext/>
              <w:spacing w:after="0" w:line="240" w:lineRule="auto"/>
              <w:rPr>
                <w:rFonts w:cs="Times New Roman"/>
                <w:b/>
                <w:noProof/>
                <w:sz w:val="20"/>
                <w:szCs w:val="20"/>
              </w:rPr>
            </w:pPr>
            <w:r>
              <w:rPr>
                <w:rFonts w:cs="Times New Roman"/>
                <w:b/>
                <w:bCs/>
                <w:noProof/>
                <w:sz w:val="20"/>
                <w:szCs w:val="20"/>
                <w:lang w:val="hr"/>
              </w:rPr>
              <w:t xml:space="preserve">Prioritet </w:t>
            </w:r>
          </w:p>
        </w:tc>
        <w:tc>
          <w:tcPr>
            <w:tcW w:w="479" w:type="pct"/>
          </w:tcPr>
          <w:p w14:paraId="51E7F3EE" w14:textId="77777777" w:rsidR="00CB4EBF" w:rsidRPr="001C431F" w:rsidRDefault="00CB4EBF" w:rsidP="0054762C">
            <w:pPr>
              <w:keepNext/>
              <w:spacing w:after="0" w:line="240" w:lineRule="auto"/>
              <w:rPr>
                <w:rFonts w:cs="Times New Roman"/>
                <w:b/>
                <w:noProof/>
                <w:sz w:val="20"/>
                <w:szCs w:val="20"/>
              </w:rPr>
            </w:pPr>
            <w:r>
              <w:rPr>
                <w:rFonts w:cs="Times New Roman"/>
                <w:b/>
                <w:bCs/>
                <w:noProof/>
                <w:sz w:val="20"/>
                <w:szCs w:val="20"/>
                <w:lang w:val="hr"/>
              </w:rPr>
              <w:t>Specifični cilj</w:t>
            </w:r>
          </w:p>
        </w:tc>
        <w:tc>
          <w:tcPr>
            <w:tcW w:w="300" w:type="pct"/>
          </w:tcPr>
          <w:p w14:paraId="4A85C17D" w14:textId="77777777" w:rsidR="00CB4EBF" w:rsidRPr="001C431F" w:rsidRDefault="00CB4EBF" w:rsidP="0054762C">
            <w:pPr>
              <w:keepNext/>
              <w:spacing w:after="0" w:line="240" w:lineRule="auto"/>
              <w:rPr>
                <w:rFonts w:cs="Times New Roman"/>
                <w:b/>
                <w:noProof/>
                <w:sz w:val="20"/>
                <w:szCs w:val="20"/>
              </w:rPr>
            </w:pPr>
            <w:r>
              <w:rPr>
                <w:rFonts w:cs="Times New Roman"/>
                <w:b/>
                <w:bCs/>
                <w:noProof/>
                <w:sz w:val="20"/>
                <w:szCs w:val="20"/>
                <w:lang w:val="hr"/>
              </w:rPr>
              <w:t>Oznaka</w:t>
            </w:r>
          </w:p>
        </w:tc>
        <w:tc>
          <w:tcPr>
            <w:tcW w:w="647" w:type="pct"/>
            <w:shd w:val="clear" w:color="auto" w:fill="auto"/>
          </w:tcPr>
          <w:p w14:paraId="085CA298" w14:textId="77777777" w:rsidR="00CB4EBF" w:rsidRPr="001C431F" w:rsidRDefault="00CB4EBF" w:rsidP="0054762C">
            <w:pPr>
              <w:keepNext/>
              <w:spacing w:after="0" w:line="240" w:lineRule="auto"/>
              <w:rPr>
                <w:rFonts w:cs="Times New Roman"/>
                <w:b/>
                <w:noProof/>
                <w:sz w:val="20"/>
                <w:szCs w:val="20"/>
              </w:rPr>
            </w:pPr>
            <w:r>
              <w:rPr>
                <w:rFonts w:cs="Times New Roman"/>
                <w:b/>
                <w:bCs/>
                <w:noProof/>
                <w:sz w:val="20"/>
                <w:szCs w:val="20"/>
                <w:lang w:val="hr"/>
              </w:rPr>
              <w:t xml:space="preserve">Pokazatelj </w:t>
            </w:r>
          </w:p>
        </w:tc>
        <w:tc>
          <w:tcPr>
            <w:tcW w:w="554" w:type="pct"/>
          </w:tcPr>
          <w:p w14:paraId="64D64DF3" w14:textId="77777777" w:rsidR="00CB4EBF" w:rsidRPr="001C431F" w:rsidRDefault="00CB4EBF" w:rsidP="0054762C">
            <w:pPr>
              <w:keepNext/>
              <w:spacing w:after="0" w:line="240" w:lineRule="auto"/>
              <w:rPr>
                <w:rFonts w:cs="Times New Roman"/>
                <w:b/>
                <w:noProof/>
                <w:sz w:val="20"/>
                <w:szCs w:val="20"/>
              </w:rPr>
            </w:pPr>
            <w:r>
              <w:rPr>
                <w:rFonts w:cs="Times New Roman"/>
                <w:b/>
                <w:bCs/>
                <w:noProof/>
                <w:sz w:val="20"/>
                <w:szCs w:val="20"/>
                <w:lang w:val="hr"/>
              </w:rPr>
              <w:t>Mjerna jedinica</w:t>
            </w:r>
          </w:p>
        </w:tc>
        <w:tc>
          <w:tcPr>
            <w:tcW w:w="358" w:type="pct"/>
          </w:tcPr>
          <w:p w14:paraId="0C794DFB" w14:textId="77777777" w:rsidR="00CB4EBF" w:rsidRPr="001C431F" w:rsidRDefault="00CB4EBF" w:rsidP="0054762C">
            <w:pPr>
              <w:keepNext/>
              <w:spacing w:after="0" w:line="240" w:lineRule="auto"/>
              <w:rPr>
                <w:rFonts w:cs="Times New Roman"/>
                <w:b/>
                <w:noProof/>
                <w:sz w:val="20"/>
                <w:szCs w:val="20"/>
              </w:rPr>
            </w:pPr>
            <w:r>
              <w:rPr>
                <w:rFonts w:cs="Times New Roman"/>
                <w:b/>
                <w:bCs/>
                <w:noProof/>
                <w:sz w:val="20"/>
                <w:szCs w:val="20"/>
                <w:lang w:val="hr"/>
              </w:rPr>
              <w:t>Osnovna vrijednost</w:t>
            </w:r>
          </w:p>
        </w:tc>
        <w:tc>
          <w:tcPr>
            <w:tcW w:w="522" w:type="pct"/>
          </w:tcPr>
          <w:p w14:paraId="24B13C79" w14:textId="77777777" w:rsidR="00CB4EBF" w:rsidRPr="001C431F" w:rsidRDefault="00CB4EBF" w:rsidP="0054762C">
            <w:pPr>
              <w:keepNext/>
              <w:spacing w:after="0" w:line="240" w:lineRule="auto"/>
              <w:rPr>
                <w:rFonts w:cs="Times New Roman"/>
                <w:b/>
                <w:noProof/>
                <w:sz w:val="20"/>
                <w:szCs w:val="20"/>
              </w:rPr>
            </w:pPr>
            <w:r>
              <w:rPr>
                <w:rFonts w:cs="Times New Roman"/>
                <w:b/>
                <w:bCs/>
                <w:noProof/>
                <w:sz w:val="20"/>
                <w:szCs w:val="20"/>
                <w:lang w:val="hr"/>
              </w:rPr>
              <w:t>Referentna godina</w:t>
            </w:r>
          </w:p>
        </w:tc>
        <w:tc>
          <w:tcPr>
            <w:tcW w:w="366" w:type="pct"/>
            <w:shd w:val="clear" w:color="auto" w:fill="auto"/>
          </w:tcPr>
          <w:p w14:paraId="3E69C0D4" w14:textId="77777777" w:rsidR="00CB4EBF" w:rsidRPr="001C431F" w:rsidRDefault="00CB4EBF" w:rsidP="0054762C">
            <w:pPr>
              <w:keepNext/>
              <w:spacing w:after="0" w:line="240" w:lineRule="auto"/>
              <w:rPr>
                <w:rFonts w:cs="Times New Roman"/>
                <w:b/>
                <w:noProof/>
                <w:sz w:val="20"/>
                <w:szCs w:val="20"/>
              </w:rPr>
            </w:pPr>
            <w:r>
              <w:rPr>
                <w:rFonts w:cs="Times New Roman"/>
                <w:b/>
                <w:bCs/>
                <w:noProof/>
                <w:sz w:val="20"/>
                <w:szCs w:val="20"/>
                <w:lang w:val="hr"/>
              </w:rPr>
              <w:t>Konačna ciljna vrijednost (2029.)</w:t>
            </w:r>
          </w:p>
        </w:tc>
        <w:tc>
          <w:tcPr>
            <w:tcW w:w="782" w:type="pct"/>
            <w:shd w:val="clear" w:color="auto" w:fill="auto"/>
          </w:tcPr>
          <w:p w14:paraId="7A175ACE" w14:textId="77777777" w:rsidR="00CB4EBF" w:rsidRPr="001C431F" w:rsidRDefault="00CB4EBF" w:rsidP="0054762C">
            <w:pPr>
              <w:keepNext/>
              <w:spacing w:after="0" w:line="240" w:lineRule="auto"/>
              <w:rPr>
                <w:rFonts w:cs="Times New Roman"/>
                <w:b/>
                <w:noProof/>
                <w:sz w:val="20"/>
                <w:szCs w:val="20"/>
              </w:rPr>
            </w:pPr>
            <w:r>
              <w:rPr>
                <w:rFonts w:cs="Times New Roman"/>
                <w:b/>
                <w:bCs/>
                <w:noProof/>
                <w:sz w:val="20"/>
                <w:szCs w:val="20"/>
                <w:lang w:val="hr"/>
              </w:rPr>
              <w:t>Izvor podataka</w:t>
            </w:r>
          </w:p>
        </w:tc>
        <w:tc>
          <w:tcPr>
            <w:tcW w:w="556" w:type="pct"/>
          </w:tcPr>
          <w:p w14:paraId="6D039036" w14:textId="77777777" w:rsidR="00CB4EBF" w:rsidRPr="001C431F" w:rsidRDefault="00CB4EBF" w:rsidP="0054762C">
            <w:pPr>
              <w:keepNext/>
              <w:spacing w:after="0" w:line="480" w:lineRule="auto"/>
              <w:rPr>
                <w:rFonts w:cs="Times New Roman"/>
                <w:b/>
                <w:noProof/>
                <w:sz w:val="20"/>
                <w:szCs w:val="20"/>
              </w:rPr>
            </w:pPr>
            <w:r>
              <w:rPr>
                <w:rFonts w:cs="Times New Roman"/>
                <w:b/>
                <w:bCs/>
                <w:noProof/>
                <w:sz w:val="20"/>
                <w:szCs w:val="20"/>
                <w:lang w:val="hr"/>
              </w:rPr>
              <w:t>Napomene</w:t>
            </w:r>
          </w:p>
        </w:tc>
      </w:tr>
      <w:tr w:rsidR="00CB4EBF" w:rsidRPr="00A23750" w14:paraId="26A5985A" w14:textId="77777777" w:rsidTr="0054762C">
        <w:trPr>
          <w:trHeight w:val="629"/>
        </w:trPr>
        <w:tc>
          <w:tcPr>
            <w:tcW w:w="436" w:type="pct"/>
          </w:tcPr>
          <w:p w14:paraId="3B254301" w14:textId="77777777" w:rsidR="00CB4EBF" w:rsidRPr="001C431F" w:rsidRDefault="00CB4EBF" w:rsidP="0054762C">
            <w:pPr>
              <w:keepNext/>
              <w:spacing w:after="0" w:line="240" w:lineRule="auto"/>
              <w:jc w:val="center"/>
              <w:rPr>
                <w:rFonts w:cs="Times New Roman"/>
                <w:i/>
                <w:noProof/>
                <w:sz w:val="20"/>
                <w:szCs w:val="20"/>
              </w:rPr>
            </w:pPr>
            <w:r>
              <w:rPr>
                <w:rFonts w:cs="Times New Roman"/>
                <w:sz w:val="20"/>
                <w:szCs w:val="20"/>
                <w:lang w:val="hr"/>
              </w:rPr>
              <w:t>1.</w:t>
            </w:r>
          </w:p>
        </w:tc>
        <w:tc>
          <w:tcPr>
            <w:tcW w:w="479" w:type="pct"/>
          </w:tcPr>
          <w:p w14:paraId="1F884E70" w14:textId="77777777" w:rsidR="00CB4EBF" w:rsidRPr="001C431F" w:rsidRDefault="00CB4EBF" w:rsidP="0054762C">
            <w:pPr>
              <w:keepNext/>
              <w:spacing w:after="0" w:line="240" w:lineRule="auto"/>
              <w:jc w:val="both"/>
              <w:rPr>
                <w:rFonts w:cs="Times New Roman"/>
                <w:i/>
                <w:noProof/>
                <w:sz w:val="20"/>
                <w:szCs w:val="20"/>
              </w:rPr>
            </w:pPr>
            <w:r>
              <w:rPr>
                <w:rFonts w:eastAsia="Times New Roman" w:cs="Times New Roman"/>
                <w:noProof/>
                <w:sz w:val="20"/>
                <w:szCs w:val="20"/>
                <w:lang w:val="hr"/>
              </w:rPr>
              <w:t>SO 1.3</w:t>
            </w:r>
          </w:p>
        </w:tc>
        <w:tc>
          <w:tcPr>
            <w:tcW w:w="300" w:type="pct"/>
          </w:tcPr>
          <w:p w14:paraId="4B35E6B1" w14:textId="77777777" w:rsidR="00CB4EBF" w:rsidRPr="001C431F" w:rsidRDefault="00CB4EBF" w:rsidP="0054762C">
            <w:pPr>
              <w:keepNext/>
              <w:spacing w:after="0" w:line="240" w:lineRule="auto"/>
              <w:jc w:val="both"/>
              <w:rPr>
                <w:rFonts w:cs="Times New Roman"/>
                <w:i/>
                <w:noProof/>
                <w:sz w:val="20"/>
                <w:szCs w:val="20"/>
              </w:rPr>
            </w:pPr>
            <w:proofErr w:type="spellStart"/>
            <w:r>
              <w:rPr>
                <w:rFonts w:cs="Times New Roman"/>
                <w:sz w:val="20"/>
                <w:szCs w:val="20"/>
                <w:lang w:val="hr"/>
              </w:rPr>
              <w:t>RCR</w:t>
            </w:r>
            <w:proofErr w:type="spellEnd"/>
            <w:r>
              <w:rPr>
                <w:rFonts w:cs="Times New Roman"/>
                <w:sz w:val="20"/>
                <w:szCs w:val="20"/>
                <w:lang w:val="hr"/>
              </w:rPr>
              <w:t xml:space="preserve"> 25</w:t>
            </w:r>
          </w:p>
        </w:tc>
        <w:tc>
          <w:tcPr>
            <w:tcW w:w="647" w:type="pct"/>
            <w:shd w:val="clear" w:color="auto" w:fill="auto"/>
          </w:tcPr>
          <w:p w14:paraId="6DE0037E" w14:textId="77777777" w:rsidR="00CB4EBF" w:rsidRPr="001C431F" w:rsidRDefault="00CB4EBF" w:rsidP="0054762C">
            <w:pPr>
              <w:keepNext/>
              <w:spacing w:after="0" w:line="240" w:lineRule="auto"/>
              <w:rPr>
                <w:rFonts w:cs="Times New Roman"/>
                <w:bCs/>
                <w:iCs/>
                <w:sz w:val="20"/>
                <w:szCs w:val="20"/>
              </w:rPr>
            </w:pPr>
            <w:proofErr w:type="spellStart"/>
            <w:r>
              <w:rPr>
                <w:rFonts w:cs="Times New Roman"/>
                <w:sz w:val="20"/>
                <w:szCs w:val="20"/>
                <w:lang w:val="hr"/>
              </w:rPr>
              <w:t>MSP</w:t>
            </w:r>
            <w:proofErr w:type="spellEnd"/>
            <w:r>
              <w:rPr>
                <w:rFonts w:cs="Times New Roman"/>
                <w:sz w:val="20"/>
                <w:szCs w:val="20"/>
                <w:lang w:val="hr"/>
              </w:rPr>
              <w:t>-ovi s višom dodanom vrijednosti po zaposleniku</w:t>
            </w:r>
          </w:p>
        </w:tc>
        <w:tc>
          <w:tcPr>
            <w:tcW w:w="554" w:type="pct"/>
          </w:tcPr>
          <w:p w14:paraId="45F2E7E4" w14:textId="77777777" w:rsidR="00CB4EBF" w:rsidRPr="001C431F" w:rsidRDefault="00CB4EBF" w:rsidP="0054762C">
            <w:pPr>
              <w:keepNext/>
              <w:spacing w:after="0" w:line="240" w:lineRule="auto"/>
              <w:jc w:val="both"/>
              <w:rPr>
                <w:rFonts w:cs="Times New Roman"/>
                <w:iCs/>
                <w:noProof/>
                <w:sz w:val="20"/>
                <w:szCs w:val="20"/>
              </w:rPr>
            </w:pPr>
            <w:r>
              <w:rPr>
                <w:rFonts w:cs="Times New Roman"/>
                <w:noProof/>
                <w:sz w:val="20"/>
                <w:szCs w:val="20"/>
                <w:lang w:val="hr"/>
              </w:rPr>
              <w:t>poduzeća</w:t>
            </w:r>
          </w:p>
        </w:tc>
        <w:tc>
          <w:tcPr>
            <w:tcW w:w="358" w:type="pct"/>
          </w:tcPr>
          <w:p w14:paraId="12B6FE0E" w14:textId="77777777" w:rsidR="00CB4EBF" w:rsidRPr="001C431F" w:rsidRDefault="00CB4EBF" w:rsidP="0054762C">
            <w:pPr>
              <w:keepNext/>
              <w:spacing w:after="0" w:line="240" w:lineRule="auto"/>
              <w:jc w:val="center"/>
              <w:rPr>
                <w:rFonts w:cs="Times New Roman"/>
                <w:i/>
                <w:noProof/>
                <w:sz w:val="20"/>
                <w:szCs w:val="20"/>
              </w:rPr>
            </w:pPr>
            <w:r>
              <w:rPr>
                <w:rFonts w:cs="Times New Roman"/>
                <w:sz w:val="20"/>
                <w:szCs w:val="20"/>
                <w:lang w:val="hr"/>
              </w:rPr>
              <w:t>0</w:t>
            </w:r>
          </w:p>
        </w:tc>
        <w:tc>
          <w:tcPr>
            <w:tcW w:w="522" w:type="pct"/>
          </w:tcPr>
          <w:p w14:paraId="113D2BF7" w14:textId="77777777" w:rsidR="00CB4EBF" w:rsidRPr="001C431F" w:rsidRDefault="00CB4EBF" w:rsidP="0054762C">
            <w:pPr>
              <w:keepNext/>
              <w:spacing w:after="0" w:line="240" w:lineRule="auto"/>
              <w:jc w:val="center"/>
              <w:rPr>
                <w:rFonts w:cs="Times New Roman"/>
                <w:b/>
                <w:noProof/>
                <w:sz w:val="20"/>
                <w:szCs w:val="20"/>
              </w:rPr>
            </w:pPr>
            <w:r>
              <w:rPr>
                <w:rFonts w:cs="Times New Roman"/>
                <w:sz w:val="20"/>
                <w:szCs w:val="20"/>
                <w:lang w:val="hr"/>
              </w:rPr>
              <w:t>2021.</w:t>
            </w:r>
          </w:p>
        </w:tc>
        <w:tc>
          <w:tcPr>
            <w:tcW w:w="366" w:type="pct"/>
            <w:shd w:val="clear" w:color="auto" w:fill="auto"/>
          </w:tcPr>
          <w:p w14:paraId="72CC6424" w14:textId="77777777" w:rsidR="00CB4EBF" w:rsidRPr="008D68DD" w:rsidRDefault="00CB4EBF" w:rsidP="0054762C">
            <w:pPr>
              <w:keepNext/>
              <w:spacing w:after="0" w:line="240" w:lineRule="auto"/>
              <w:jc w:val="center"/>
              <w:rPr>
                <w:rFonts w:cs="Times New Roman"/>
                <w:bCs/>
                <w:noProof/>
                <w:sz w:val="20"/>
                <w:szCs w:val="20"/>
              </w:rPr>
            </w:pPr>
            <w:r>
              <w:rPr>
                <w:rFonts w:cs="Times New Roman"/>
                <w:noProof/>
                <w:sz w:val="20"/>
                <w:szCs w:val="20"/>
                <w:lang w:val="hr"/>
              </w:rPr>
              <w:t>43</w:t>
            </w:r>
          </w:p>
        </w:tc>
        <w:tc>
          <w:tcPr>
            <w:tcW w:w="782" w:type="pct"/>
            <w:shd w:val="clear" w:color="auto" w:fill="auto"/>
          </w:tcPr>
          <w:p w14:paraId="262AA8DF" w14:textId="77777777" w:rsidR="00CB4EBF" w:rsidRPr="001C431F" w:rsidRDefault="00CB4EBF" w:rsidP="0054762C">
            <w:pPr>
              <w:keepNext/>
              <w:spacing w:after="0" w:line="240" w:lineRule="auto"/>
              <w:rPr>
                <w:rFonts w:cs="Times New Roman"/>
                <w:bCs/>
                <w:iCs/>
                <w:sz w:val="20"/>
                <w:szCs w:val="20"/>
              </w:rPr>
            </w:pPr>
            <w:r>
              <w:rPr>
                <w:rFonts w:cs="Times New Roman"/>
                <w:sz w:val="20"/>
                <w:szCs w:val="20"/>
                <w:lang w:val="hr"/>
              </w:rPr>
              <w:t>Projekti koji su primili potporu, javni registri</w:t>
            </w:r>
          </w:p>
        </w:tc>
        <w:tc>
          <w:tcPr>
            <w:tcW w:w="556" w:type="pct"/>
          </w:tcPr>
          <w:p w14:paraId="4D9D4D26" w14:textId="77777777" w:rsidR="00CB4EBF" w:rsidRPr="001C431F" w:rsidRDefault="00CB4EBF" w:rsidP="0054762C">
            <w:pPr>
              <w:keepNext/>
              <w:spacing w:after="0"/>
              <w:rPr>
                <w:rFonts w:cs="Times New Roman"/>
                <w:i/>
                <w:noProof/>
                <w:sz w:val="20"/>
                <w:szCs w:val="20"/>
              </w:rPr>
            </w:pPr>
          </w:p>
        </w:tc>
      </w:tr>
      <w:tr w:rsidR="00CB4EBF" w:rsidRPr="00A23750" w14:paraId="1CFEC54F" w14:textId="77777777" w:rsidTr="0054762C">
        <w:trPr>
          <w:trHeight w:val="629"/>
        </w:trPr>
        <w:tc>
          <w:tcPr>
            <w:tcW w:w="436" w:type="pct"/>
          </w:tcPr>
          <w:p w14:paraId="39D27D9A" w14:textId="77777777" w:rsidR="00CB4EBF" w:rsidRPr="001C431F" w:rsidRDefault="00CB4EBF" w:rsidP="0054762C">
            <w:pPr>
              <w:keepNext/>
              <w:spacing w:after="0" w:line="240" w:lineRule="auto"/>
              <w:jc w:val="center"/>
              <w:rPr>
                <w:rFonts w:cs="Times New Roman"/>
                <w:i/>
                <w:noProof/>
                <w:sz w:val="20"/>
                <w:szCs w:val="20"/>
              </w:rPr>
            </w:pPr>
            <w:r>
              <w:rPr>
                <w:rFonts w:cs="Times New Roman"/>
                <w:sz w:val="20"/>
                <w:szCs w:val="20"/>
                <w:lang w:val="hr"/>
              </w:rPr>
              <w:t>1.</w:t>
            </w:r>
          </w:p>
        </w:tc>
        <w:tc>
          <w:tcPr>
            <w:tcW w:w="479" w:type="pct"/>
          </w:tcPr>
          <w:p w14:paraId="5B294CAB" w14:textId="77777777" w:rsidR="00CB4EBF" w:rsidRPr="001C431F" w:rsidRDefault="00CB4EBF" w:rsidP="0054762C">
            <w:pPr>
              <w:keepNext/>
              <w:spacing w:after="0" w:line="240" w:lineRule="auto"/>
              <w:jc w:val="both"/>
              <w:rPr>
                <w:rFonts w:cs="Times New Roman"/>
                <w:i/>
                <w:noProof/>
                <w:sz w:val="20"/>
                <w:szCs w:val="20"/>
              </w:rPr>
            </w:pPr>
            <w:r>
              <w:rPr>
                <w:rFonts w:eastAsia="Times New Roman" w:cs="Times New Roman"/>
                <w:noProof/>
                <w:sz w:val="20"/>
                <w:szCs w:val="20"/>
                <w:lang w:val="hr"/>
              </w:rPr>
              <w:t>SO 1.3</w:t>
            </w:r>
          </w:p>
        </w:tc>
        <w:tc>
          <w:tcPr>
            <w:tcW w:w="300" w:type="pct"/>
          </w:tcPr>
          <w:p w14:paraId="5A6F2026" w14:textId="77777777" w:rsidR="00CB4EBF" w:rsidRPr="001C431F" w:rsidRDefault="00CB4EBF" w:rsidP="0054762C">
            <w:pPr>
              <w:keepNext/>
              <w:spacing w:after="0" w:line="240" w:lineRule="auto"/>
              <w:jc w:val="both"/>
              <w:rPr>
                <w:rFonts w:cs="Times New Roman"/>
                <w:i/>
                <w:noProof/>
                <w:sz w:val="20"/>
                <w:szCs w:val="20"/>
              </w:rPr>
            </w:pPr>
            <w:proofErr w:type="spellStart"/>
            <w:r>
              <w:rPr>
                <w:rFonts w:cs="Times New Roman"/>
                <w:sz w:val="20"/>
                <w:szCs w:val="20"/>
                <w:lang w:val="hr"/>
              </w:rPr>
              <w:t>RCR</w:t>
            </w:r>
            <w:proofErr w:type="spellEnd"/>
            <w:r>
              <w:rPr>
                <w:rFonts w:cs="Times New Roman"/>
                <w:sz w:val="20"/>
                <w:szCs w:val="20"/>
                <w:lang w:val="hr"/>
              </w:rPr>
              <w:t xml:space="preserve"> 84</w:t>
            </w:r>
          </w:p>
        </w:tc>
        <w:tc>
          <w:tcPr>
            <w:tcW w:w="647" w:type="pct"/>
            <w:shd w:val="clear" w:color="auto" w:fill="auto"/>
          </w:tcPr>
          <w:p w14:paraId="74313E73" w14:textId="77777777" w:rsidR="00CB4EBF" w:rsidRPr="001C431F" w:rsidRDefault="00CB4EBF" w:rsidP="0054762C">
            <w:pPr>
              <w:keepNext/>
              <w:spacing w:after="0" w:line="240" w:lineRule="auto"/>
              <w:rPr>
                <w:rFonts w:cs="Times New Roman"/>
                <w:bCs/>
                <w:iCs/>
                <w:sz w:val="20"/>
                <w:szCs w:val="20"/>
              </w:rPr>
            </w:pPr>
            <w:r>
              <w:rPr>
                <w:rFonts w:cs="Times New Roman"/>
                <w:sz w:val="20"/>
                <w:szCs w:val="20"/>
                <w:lang w:val="hr"/>
              </w:rPr>
              <w:t>Organizacije koje surađuju preko granica nakon okončanja projekta</w:t>
            </w:r>
          </w:p>
        </w:tc>
        <w:tc>
          <w:tcPr>
            <w:tcW w:w="554" w:type="pct"/>
          </w:tcPr>
          <w:p w14:paraId="2035AA28" w14:textId="77777777" w:rsidR="00CB4EBF" w:rsidRPr="001C431F" w:rsidRDefault="00CB4EBF" w:rsidP="0054762C">
            <w:pPr>
              <w:keepNext/>
              <w:spacing w:after="0" w:line="240" w:lineRule="auto"/>
              <w:jc w:val="both"/>
              <w:rPr>
                <w:rFonts w:cs="Times New Roman"/>
                <w:iCs/>
                <w:noProof/>
                <w:sz w:val="20"/>
                <w:szCs w:val="20"/>
              </w:rPr>
            </w:pPr>
            <w:r>
              <w:rPr>
                <w:rFonts w:cs="Times New Roman"/>
                <w:noProof/>
                <w:sz w:val="20"/>
                <w:szCs w:val="20"/>
                <w:lang w:val="hr"/>
              </w:rPr>
              <w:t>organizacije</w:t>
            </w:r>
          </w:p>
        </w:tc>
        <w:tc>
          <w:tcPr>
            <w:tcW w:w="358" w:type="pct"/>
          </w:tcPr>
          <w:p w14:paraId="45CD750E" w14:textId="77777777" w:rsidR="00CB4EBF" w:rsidRPr="001C431F" w:rsidRDefault="00CB4EBF" w:rsidP="0054762C">
            <w:pPr>
              <w:keepNext/>
              <w:spacing w:after="0" w:line="240" w:lineRule="auto"/>
              <w:jc w:val="center"/>
              <w:rPr>
                <w:rFonts w:cs="Times New Roman"/>
                <w:i/>
                <w:noProof/>
                <w:sz w:val="20"/>
                <w:szCs w:val="20"/>
              </w:rPr>
            </w:pPr>
            <w:r>
              <w:rPr>
                <w:rFonts w:cs="Times New Roman"/>
                <w:sz w:val="20"/>
                <w:szCs w:val="20"/>
                <w:lang w:val="hr"/>
              </w:rPr>
              <w:t>0</w:t>
            </w:r>
          </w:p>
        </w:tc>
        <w:tc>
          <w:tcPr>
            <w:tcW w:w="522" w:type="pct"/>
          </w:tcPr>
          <w:p w14:paraId="76108096" w14:textId="77777777" w:rsidR="00CB4EBF" w:rsidRPr="001C431F" w:rsidRDefault="00CB4EBF" w:rsidP="0054762C">
            <w:pPr>
              <w:keepNext/>
              <w:spacing w:after="0" w:line="240" w:lineRule="auto"/>
              <w:jc w:val="center"/>
              <w:rPr>
                <w:rFonts w:cs="Times New Roman"/>
                <w:b/>
                <w:noProof/>
                <w:sz w:val="20"/>
                <w:szCs w:val="20"/>
              </w:rPr>
            </w:pPr>
            <w:r>
              <w:rPr>
                <w:rFonts w:cs="Times New Roman"/>
                <w:sz w:val="20"/>
                <w:szCs w:val="20"/>
                <w:lang w:val="hr"/>
              </w:rPr>
              <w:t>2021.</w:t>
            </w:r>
          </w:p>
        </w:tc>
        <w:tc>
          <w:tcPr>
            <w:tcW w:w="366" w:type="pct"/>
            <w:shd w:val="clear" w:color="auto" w:fill="auto"/>
          </w:tcPr>
          <w:p w14:paraId="7221E6E9" w14:textId="77777777" w:rsidR="00CB4EBF" w:rsidRPr="008D68DD" w:rsidRDefault="00CB4EBF" w:rsidP="0054762C">
            <w:pPr>
              <w:keepNext/>
              <w:spacing w:after="0" w:line="240" w:lineRule="auto"/>
              <w:jc w:val="center"/>
              <w:rPr>
                <w:rFonts w:cs="Times New Roman"/>
                <w:bCs/>
                <w:noProof/>
                <w:sz w:val="20"/>
                <w:szCs w:val="20"/>
              </w:rPr>
            </w:pPr>
            <w:r>
              <w:rPr>
                <w:rFonts w:cs="Times New Roman"/>
                <w:noProof/>
                <w:sz w:val="20"/>
                <w:szCs w:val="20"/>
                <w:lang w:val="hr"/>
              </w:rPr>
              <w:t>43</w:t>
            </w:r>
          </w:p>
        </w:tc>
        <w:tc>
          <w:tcPr>
            <w:tcW w:w="782" w:type="pct"/>
            <w:shd w:val="clear" w:color="auto" w:fill="auto"/>
          </w:tcPr>
          <w:p w14:paraId="19A4728E" w14:textId="77777777" w:rsidR="00CB4EBF" w:rsidRPr="001C431F" w:rsidRDefault="00CB4EBF" w:rsidP="0054762C">
            <w:pPr>
              <w:keepNext/>
              <w:spacing w:after="0" w:line="240" w:lineRule="auto"/>
              <w:rPr>
                <w:rFonts w:cs="Times New Roman"/>
                <w:bCs/>
                <w:iCs/>
                <w:sz w:val="20"/>
                <w:szCs w:val="20"/>
              </w:rPr>
            </w:pPr>
            <w:r>
              <w:rPr>
                <w:rFonts w:cs="Times New Roman"/>
                <w:sz w:val="20"/>
                <w:szCs w:val="20"/>
                <w:lang w:val="hr"/>
              </w:rPr>
              <w:t>Sustav praćenja upravljačkog tijela / istraživanje</w:t>
            </w:r>
          </w:p>
        </w:tc>
        <w:tc>
          <w:tcPr>
            <w:tcW w:w="556" w:type="pct"/>
          </w:tcPr>
          <w:p w14:paraId="54CB7971" w14:textId="77777777" w:rsidR="00CB4EBF" w:rsidRPr="001C431F" w:rsidRDefault="00CB4EBF" w:rsidP="0054762C">
            <w:pPr>
              <w:keepNext/>
              <w:spacing w:after="0"/>
              <w:rPr>
                <w:rFonts w:cs="Times New Roman"/>
                <w:i/>
                <w:noProof/>
                <w:sz w:val="20"/>
                <w:szCs w:val="20"/>
              </w:rPr>
            </w:pPr>
          </w:p>
        </w:tc>
      </w:tr>
    </w:tbl>
    <w:p w14:paraId="74E438B2"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p>
    <w:p w14:paraId="725FEC10"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r>
        <w:rPr>
          <w:rFonts w:eastAsia="Times New Roman" w:cs="Times New Roman"/>
          <w:noProof/>
          <w:sz w:val="20"/>
          <w:szCs w:val="20"/>
          <w:lang w:val="hr"/>
        </w:rPr>
        <w:t>Glavne ciljne skupine</w:t>
      </w:r>
    </w:p>
    <w:p w14:paraId="64F01520"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i/>
          <w:iCs/>
          <w:noProof/>
          <w:color w:val="000000"/>
          <w:sz w:val="20"/>
          <w:szCs w:val="20"/>
          <w:lang w:val="hr"/>
        </w:rPr>
        <w:t>Upućivanje: članak 17. stavak 3. točka (e) podtočka iii., članak 17. stavak 9. točka (c) podtočka iv.</w:t>
      </w:r>
    </w:p>
    <w:p w14:paraId="69675B71" w14:textId="77777777" w:rsidR="00CB4EBF" w:rsidRDefault="00CB4EBF" w:rsidP="00CB4EBF">
      <w:pPr>
        <w:spacing w:after="0"/>
        <w:jc w:val="both"/>
        <w:rPr>
          <w:rFonts w:cs="Times New Roman"/>
          <w:sz w:val="20"/>
          <w:szCs w:val="20"/>
        </w:rPr>
      </w:pPr>
    </w:p>
    <w:p w14:paraId="3D2BF0B1" w14:textId="77777777" w:rsidR="00CB4EBF" w:rsidRDefault="00CB4EBF" w:rsidP="00CB4EBF">
      <w:pPr>
        <w:spacing w:after="0"/>
        <w:jc w:val="both"/>
        <w:rPr>
          <w:rFonts w:cs="Times New Roman"/>
          <w:sz w:val="20"/>
          <w:szCs w:val="20"/>
        </w:rPr>
      </w:pPr>
      <w:r>
        <w:rPr>
          <w:rFonts w:cs="Times New Roman"/>
          <w:sz w:val="20"/>
          <w:szCs w:val="20"/>
          <w:lang w:val="hr"/>
        </w:rPr>
        <w:t xml:space="preserve">Izravne ciljne skupine (okvirni popis potencijalnih korisnika) jesu </w:t>
      </w:r>
    </w:p>
    <w:p w14:paraId="59BD8CB1" w14:textId="77777777" w:rsidR="00CB4EBF" w:rsidRPr="00130057" w:rsidRDefault="00CB4EBF" w:rsidP="00CB4EBF">
      <w:pPr>
        <w:pStyle w:val="ListParagraph"/>
        <w:numPr>
          <w:ilvl w:val="0"/>
          <w:numId w:val="10"/>
        </w:numPr>
        <w:spacing w:after="0"/>
        <w:jc w:val="both"/>
        <w:rPr>
          <w:rFonts w:cs="Times New Roman"/>
          <w:sz w:val="20"/>
          <w:szCs w:val="20"/>
        </w:rPr>
      </w:pPr>
      <w:r>
        <w:rPr>
          <w:sz w:val="20"/>
          <w:szCs w:val="20"/>
          <w:lang w:val="hr"/>
        </w:rPr>
        <w:t>surađujuća mala i srednja poduzeća sa svake strane granice koja posluju u industrijskom sektoru i sektoru poslovnih usluga</w:t>
      </w:r>
      <w:r>
        <w:rPr>
          <w:lang w:val="hr"/>
        </w:rPr>
        <w:t xml:space="preserve"> </w:t>
      </w:r>
      <w:r>
        <w:rPr>
          <w:sz w:val="20"/>
          <w:szCs w:val="20"/>
          <w:lang w:val="hr"/>
        </w:rPr>
        <w:t xml:space="preserve">u prekograničnom području; </w:t>
      </w:r>
    </w:p>
    <w:p w14:paraId="57CB4CB3" w14:textId="77777777" w:rsidR="00CB4EBF" w:rsidRPr="002F12BD" w:rsidRDefault="00CB4EBF" w:rsidP="00CB4EBF">
      <w:pPr>
        <w:pStyle w:val="ListParagraph"/>
        <w:numPr>
          <w:ilvl w:val="0"/>
          <w:numId w:val="10"/>
        </w:numPr>
        <w:spacing w:after="0"/>
        <w:jc w:val="both"/>
        <w:rPr>
          <w:rFonts w:cs="Times New Roman"/>
          <w:sz w:val="20"/>
          <w:szCs w:val="20"/>
        </w:rPr>
      </w:pPr>
      <w:r>
        <w:rPr>
          <w:rFonts w:cs="Times New Roman"/>
          <w:sz w:val="20"/>
          <w:szCs w:val="20"/>
          <w:lang w:val="hr"/>
        </w:rPr>
        <w:t>odgovarajuće organizacije za poslovnu potporu na nacionalnoj i županijskoj/lokalnoj razini;</w:t>
      </w:r>
    </w:p>
    <w:p w14:paraId="2D4A462C" w14:textId="77777777" w:rsidR="00CB4EBF" w:rsidRPr="002F12BD" w:rsidRDefault="00CB4EBF" w:rsidP="00CB4EBF">
      <w:pPr>
        <w:pStyle w:val="ListParagraph"/>
        <w:numPr>
          <w:ilvl w:val="0"/>
          <w:numId w:val="10"/>
        </w:numPr>
        <w:spacing w:after="0"/>
        <w:jc w:val="both"/>
        <w:rPr>
          <w:rFonts w:cs="Times New Roman"/>
          <w:sz w:val="20"/>
          <w:szCs w:val="20"/>
        </w:rPr>
      </w:pPr>
      <w:r>
        <w:rPr>
          <w:rFonts w:cs="Times New Roman"/>
          <w:sz w:val="20"/>
          <w:szCs w:val="20"/>
          <w:lang w:val="hr"/>
        </w:rPr>
        <w:t>organizacije za istraživanje i razvoj.</w:t>
      </w:r>
    </w:p>
    <w:p w14:paraId="1572C2FB" w14:textId="77777777" w:rsidR="00CB4EBF" w:rsidRPr="001C431F" w:rsidRDefault="00CB4EBF" w:rsidP="00CB4EBF">
      <w:pPr>
        <w:spacing w:after="0"/>
        <w:jc w:val="both"/>
        <w:rPr>
          <w:rFonts w:cs="Times New Roman"/>
          <w:sz w:val="20"/>
          <w:szCs w:val="20"/>
        </w:rPr>
      </w:pPr>
    </w:p>
    <w:p w14:paraId="6EAEC51D" w14:textId="77777777" w:rsidR="00CB4EBF" w:rsidRDefault="00CB4EBF" w:rsidP="00CB4EBF">
      <w:pPr>
        <w:spacing w:after="0"/>
        <w:jc w:val="both"/>
        <w:rPr>
          <w:rFonts w:cs="Times New Roman"/>
          <w:sz w:val="20"/>
          <w:szCs w:val="20"/>
        </w:rPr>
      </w:pPr>
      <w:r>
        <w:rPr>
          <w:rFonts w:cs="Times New Roman"/>
          <w:sz w:val="20"/>
          <w:szCs w:val="20"/>
          <w:lang w:val="hr"/>
        </w:rPr>
        <w:t>Neizravne ciljne skupine jesu</w:t>
      </w:r>
    </w:p>
    <w:p w14:paraId="41CCD0A3" w14:textId="77777777" w:rsidR="00CB4EBF" w:rsidRDefault="00CB4EBF" w:rsidP="00CB4EBF">
      <w:pPr>
        <w:pStyle w:val="ListParagraph"/>
        <w:numPr>
          <w:ilvl w:val="0"/>
          <w:numId w:val="10"/>
        </w:numPr>
        <w:spacing w:after="0"/>
        <w:jc w:val="both"/>
        <w:rPr>
          <w:rFonts w:cs="Times New Roman"/>
          <w:sz w:val="20"/>
          <w:szCs w:val="20"/>
        </w:rPr>
      </w:pPr>
      <w:r>
        <w:rPr>
          <w:rFonts w:cs="Times New Roman"/>
          <w:sz w:val="20"/>
          <w:szCs w:val="20"/>
          <w:lang w:val="hr"/>
        </w:rPr>
        <w:t xml:space="preserve">vlasnici i zaposlenici odobrenih malih i srednjih poduzeća kroz sheme zajedničke potpore malim i srednjim poduzećima i </w:t>
      </w:r>
    </w:p>
    <w:p w14:paraId="696CD4A7" w14:textId="77777777" w:rsidR="00CB4EBF" w:rsidRPr="00B04DD4" w:rsidRDefault="00CB4EBF" w:rsidP="00CB4EBF">
      <w:pPr>
        <w:pStyle w:val="ListParagraph"/>
        <w:numPr>
          <w:ilvl w:val="0"/>
          <w:numId w:val="10"/>
        </w:numPr>
        <w:spacing w:after="0"/>
        <w:jc w:val="both"/>
        <w:rPr>
          <w:rFonts w:cs="Times New Roman"/>
          <w:sz w:val="20"/>
          <w:szCs w:val="20"/>
        </w:rPr>
      </w:pPr>
      <w:r>
        <w:rPr>
          <w:rFonts w:cs="Times New Roman"/>
          <w:sz w:val="20"/>
          <w:szCs w:val="20"/>
          <w:lang w:val="hr"/>
        </w:rPr>
        <w:t>podizvođači i vanjski stručnjaci koji surađuju na projektima malih i srednjih poduzeća.</w:t>
      </w:r>
    </w:p>
    <w:p w14:paraId="0F2709E6" w14:textId="77777777" w:rsidR="00CB4EBF" w:rsidRPr="00B04DD4" w:rsidRDefault="00CB4EBF" w:rsidP="00CB4EBF">
      <w:pPr>
        <w:pStyle w:val="ListParagraph"/>
        <w:spacing w:after="0"/>
        <w:ind w:left="360"/>
        <w:jc w:val="both"/>
        <w:rPr>
          <w:rFonts w:cs="Times New Roman"/>
          <w:sz w:val="20"/>
          <w:szCs w:val="20"/>
        </w:rPr>
      </w:pPr>
    </w:p>
    <w:p w14:paraId="67B3805D"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r>
        <w:rPr>
          <w:rFonts w:eastAsia="Times New Roman" w:cs="Times New Roman"/>
          <w:b/>
          <w:bCs/>
          <w:noProof/>
          <w:sz w:val="20"/>
          <w:szCs w:val="20"/>
          <w:lang w:val="hr"/>
        </w:rPr>
        <w:t>Posebna ciljna područja, uključujući planiranu upotrebu ITI-ja, CLLD-a ili drugih teritorijalnih alata</w:t>
      </w:r>
    </w:p>
    <w:p w14:paraId="6C505862"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i/>
          <w:iCs/>
          <w:noProof/>
          <w:color w:val="000000"/>
          <w:sz w:val="20"/>
          <w:szCs w:val="20"/>
          <w:lang w:val="hr"/>
        </w:rPr>
        <w:t>Upućivanje: članak 17. stavak 3. točka (e) podtočka iv.</w:t>
      </w:r>
    </w:p>
    <w:p w14:paraId="615B9751" w14:textId="77777777" w:rsidR="00CB4EBF" w:rsidRPr="001C431F" w:rsidRDefault="00CB4EBF" w:rsidP="00CB4EBF">
      <w:pPr>
        <w:spacing w:after="0"/>
        <w:jc w:val="both"/>
        <w:rPr>
          <w:rFonts w:cs="Times New Roman"/>
          <w:sz w:val="20"/>
          <w:szCs w:val="20"/>
        </w:rPr>
      </w:pPr>
    </w:p>
    <w:p w14:paraId="11C8F80A" w14:textId="77777777" w:rsidR="00CB4EBF" w:rsidRPr="001C431F" w:rsidRDefault="00CB4EBF" w:rsidP="00CB4EBF">
      <w:pPr>
        <w:spacing w:after="0"/>
        <w:jc w:val="both"/>
        <w:rPr>
          <w:rFonts w:cs="Times New Roman"/>
          <w:sz w:val="20"/>
          <w:szCs w:val="20"/>
        </w:rPr>
      </w:pPr>
      <w:r>
        <w:rPr>
          <w:rFonts w:cs="Times New Roman"/>
          <w:sz w:val="20"/>
          <w:szCs w:val="20"/>
          <w:lang w:val="hr"/>
        </w:rPr>
        <w:t>Svim je intervencijama ciljano cijelo programsko područje.</w:t>
      </w:r>
    </w:p>
    <w:p w14:paraId="65E0438A" w14:textId="77777777" w:rsidR="00CB4EBF" w:rsidRPr="001C431F" w:rsidRDefault="00CB4EBF" w:rsidP="00CB4EBF">
      <w:pPr>
        <w:spacing w:after="0"/>
        <w:jc w:val="both"/>
        <w:rPr>
          <w:rFonts w:cs="Times New Roman"/>
          <w:sz w:val="20"/>
          <w:szCs w:val="20"/>
        </w:rPr>
      </w:pPr>
      <w:r>
        <w:rPr>
          <w:rFonts w:cs="Times New Roman"/>
          <w:sz w:val="20"/>
          <w:szCs w:val="20"/>
          <w:lang w:val="hr"/>
        </w:rPr>
        <w:t>Posebnu pozornost treba posvetiti područjima koja obilježava slaba projektna aktivnost malih i srednjih poduzeća i niska sposobnost apsorpcije.</w:t>
      </w:r>
    </w:p>
    <w:p w14:paraId="678BEFE7" w14:textId="77777777" w:rsidR="00CB4EBF" w:rsidRPr="001C431F" w:rsidRDefault="00CB4EBF" w:rsidP="00CB4EBF">
      <w:pPr>
        <w:spacing w:after="0"/>
        <w:jc w:val="both"/>
        <w:rPr>
          <w:rFonts w:cs="Times New Roman"/>
          <w:sz w:val="20"/>
          <w:szCs w:val="20"/>
        </w:rPr>
      </w:pPr>
    </w:p>
    <w:p w14:paraId="7E7F6AE6"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r>
        <w:rPr>
          <w:rFonts w:eastAsia="Times New Roman" w:cs="Times New Roman"/>
          <w:b/>
          <w:bCs/>
          <w:noProof/>
          <w:sz w:val="20"/>
          <w:szCs w:val="20"/>
          <w:lang w:val="hr"/>
        </w:rPr>
        <w:t>Planirana upotreba financijskih instrumenata</w:t>
      </w:r>
    </w:p>
    <w:p w14:paraId="7934EEAA"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i/>
          <w:iCs/>
          <w:noProof/>
          <w:color w:val="000000"/>
          <w:sz w:val="20"/>
          <w:szCs w:val="20"/>
          <w:lang w:val="hr"/>
        </w:rPr>
        <w:t>Upućivanje: članak 17. stavak 3. točka (e) podtočka v.</w:t>
      </w:r>
    </w:p>
    <w:p w14:paraId="7EB4EC5C" w14:textId="77777777" w:rsidR="00CB4EBF" w:rsidRPr="001C431F" w:rsidRDefault="00CB4EBF" w:rsidP="00CB4EBF">
      <w:pPr>
        <w:spacing w:after="0"/>
        <w:jc w:val="both"/>
        <w:rPr>
          <w:rFonts w:cs="Times New Roman"/>
          <w:sz w:val="20"/>
          <w:szCs w:val="20"/>
        </w:rPr>
      </w:pPr>
      <w:r>
        <w:rPr>
          <w:rFonts w:cs="Times New Roman"/>
          <w:sz w:val="20"/>
          <w:szCs w:val="20"/>
          <w:lang w:val="hr"/>
        </w:rPr>
        <w:t>Neće se upotrebljavati financijski instrumenti.</w:t>
      </w:r>
    </w:p>
    <w:p w14:paraId="7DDC8851"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p>
    <w:p w14:paraId="10669838"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r>
        <w:rPr>
          <w:rFonts w:eastAsia="Times New Roman" w:cs="Times New Roman"/>
          <w:b/>
          <w:bCs/>
          <w:noProof/>
          <w:sz w:val="20"/>
          <w:szCs w:val="20"/>
          <w:lang w:val="hr"/>
        </w:rPr>
        <w:t>Okvirna raščlamba sredstava programa EU-a prema vrsti intervencije</w:t>
      </w:r>
      <w:r>
        <w:rPr>
          <w:rStyle w:val="FootnoteReference"/>
          <w:rFonts w:eastAsia="Times New Roman" w:cs="Times New Roman"/>
          <w:b/>
          <w:bCs/>
          <w:noProof/>
          <w:sz w:val="20"/>
          <w:szCs w:val="20"/>
          <w:lang w:val="hr"/>
        </w:rPr>
        <w:footnoteReference w:id="5"/>
      </w:r>
    </w:p>
    <w:p w14:paraId="4AEA5B82" w14:textId="77777777" w:rsidR="00CB4EBF" w:rsidRPr="001C431F" w:rsidRDefault="00CB4EBF" w:rsidP="00CB4EBF">
      <w:pPr>
        <w:spacing w:after="0" w:line="240" w:lineRule="auto"/>
        <w:jc w:val="both"/>
        <w:rPr>
          <w:rFonts w:cs="Times New Roman"/>
          <w:i/>
          <w:color w:val="000000"/>
          <w:sz w:val="20"/>
          <w:szCs w:val="20"/>
        </w:rPr>
      </w:pPr>
      <w:r>
        <w:rPr>
          <w:rFonts w:cs="Times New Roman"/>
          <w:i/>
          <w:iCs/>
          <w:color w:val="000000"/>
          <w:sz w:val="20"/>
          <w:szCs w:val="20"/>
          <w:lang w:val="hr"/>
        </w:rPr>
        <w:t xml:space="preserve">Upućivanje: </w:t>
      </w:r>
      <w:r>
        <w:rPr>
          <w:rFonts w:cs="Times New Roman"/>
          <w:i/>
          <w:iCs/>
          <w:noProof/>
          <w:color w:val="000000"/>
          <w:sz w:val="20"/>
          <w:szCs w:val="20"/>
          <w:lang w:val="hr"/>
        </w:rPr>
        <w:t>članak 17. stavak 3. točka (e) podtočka vi., članak 17. stavak 9. točka (c) podtočka v.</w:t>
      </w:r>
    </w:p>
    <w:p w14:paraId="1BC568CA"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noProof/>
          <w:sz w:val="20"/>
          <w:szCs w:val="20"/>
          <w:lang w:val="hr"/>
        </w:rPr>
        <w:t>Tablica 4.: Dimenzija 1. – područje intervencije</w:t>
      </w:r>
    </w:p>
    <w:tbl>
      <w:tblPr>
        <w:tblStyle w:val="TableGrid"/>
        <w:tblW w:w="0" w:type="auto"/>
        <w:tblLook w:val="04A0" w:firstRow="1" w:lastRow="0" w:firstColumn="1" w:lastColumn="0" w:noHBand="0" w:noVBand="1"/>
      </w:tblPr>
      <w:tblGrid>
        <w:gridCol w:w="1662"/>
        <w:gridCol w:w="1458"/>
        <w:gridCol w:w="1706"/>
        <w:gridCol w:w="1944"/>
        <w:gridCol w:w="2290"/>
      </w:tblGrid>
      <w:tr w:rsidR="00CB4EBF" w:rsidRPr="00A23750" w14:paraId="049E51AE" w14:textId="77777777" w:rsidTr="0054762C">
        <w:tc>
          <w:tcPr>
            <w:tcW w:w="1662" w:type="dxa"/>
          </w:tcPr>
          <w:p w14:paraId="7F51C9B2"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Prioritet br.</w:t>
            </w:r>
          </w:p>
        </w:tc>
        <w:tc>
          <w:tcPr>
            <w:tcW w:w="1458" w:type="dxa"/>
          </w:tcPr>
          <w:p w14:paraId="7FB3BA54"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Fond</w:t>
            </w:r>
          </w:p>
        </w:tc>
        <w:tc>
          <w:tcPr>
            <w:tcW w:w="1706" w:type="dxa"/>
          </w:tcPr>
          <w:p w14:paraId="2D0034B5"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Specifični cilj</w:t>
            </w:r>
          </w:p>
        </w:tc>
        <w:tc>
          <w:tcPr>
            <w:tcW w:w="1944" w:type="dxa"/>
          </w:tcPr>
          <w:p w14:paraId="7BF2D7E5"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 xml:space="preserve">Oznaka </w:t>
            </w:r>
          </w:p>
        </w:tc>
        <w:tc>
          <w:tcPr>
            <w:tcW w:w="2290" w:type="dxa"/>
          </w:tcPr>
          <w:p w14:paraId="2E516BB9"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Iznos (EUR)</w:t>
            </w:r>
          </w:p>
        </w:tc>
      </w:tr>
      <w:tr w:rsidR="00CB4EBF" w:rsidRPr="00A23750" w14:paraId="792DA8B0" w14:textId="77777777" w:rsidTr="0054762C">
        <w:trPr>
          <w:trHeight w:val="60"/>
        </w:trPr>
        <w:tc>
          <w:tcPr>
            <w:tcW w:w="1662" w:type="dxa"/>
          </w:tcPr>
          <w:p w14:paraId="48B03FE6"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1.</w:t>
            </w:r>
          </w:p>
        </w:tc>
        <w:tc>
          <w:tcPr>
            <w:tcW w:w="1458" w:type="dxa"/>
          </w:tcPr>
          <w:p w14:paraId="2C904388" w14:textId="77777777" w:rsidR="00CB4EBF" w:rsidRPr="001C431F" w:rsidRDefault="00CB4EBF" w:rsidP="0054762C">
            <w:pPr>
              <w:jc w:val="both"/>
              <w:rPr>
                <w:rFonts w:eastAsia="Times New Roman" w:cs="Times New Roman"/>
                <w:b/>
                <w:iCs/>
                <w:noProof/>
                <w:sz w:val="20"/>
                <w:szCs w:val="20"/>
              </w:rPr>
            </w:pPr>
            <w:r>
              <w:rPr>
                <w:rFonts w:eastAsia="Times New Roman" w:cs="Times New Roman"/>
                <w:noProof/>
                <w:sz w:val="20"/>
                <w:szCs w:val="20"/>
                <w:lang w:val="hr"/>
              </w:rPr>
              <w:t>EFRR</w:t>
            </w:r>
          </w:p>
        </w:tc>
        <w:tc>
          <w:tcPr>
            <w:tcW w:w="1706" w:type="dxa"/>
          </w:tcPr>
          <w:p w14:paraId="357B7E3E" w14:textId="77777777" w:rsidR="00CB4EBF" w:rsidRPr="001C431F" w:rsidRDefault="00CB4EBF" w:rsidP="0054762C">
            <w:pPr>
              <w:jc w:val="both"/>
              <w:rPr>
                <w:rFonts w:eastAsia="Times New Roman" w:cs="Times New Roman"/>
                <w:b/>
                <w:iCs/>
                <w:noProof/>
                <w:sz w:val="20"/>
                <w:szCs w:val="20"/>
              </w:rPr>
            </w:pPr>
            <w:r>
              <w:rPr>
                <w:rFonts w:eastAsia="Times New Roman" w:cs="Times New Roman"/>
                <w:noProof/>
                <w:sz w:val="20"/>
                <w:szCs w:val="20"/>
                <w:lang w:val="hr"/>
              </w:rPr>
              <w:t>SO 1.3</w:t>
            </w:r>
          </w:p>
        </w:tc>
        <w:tc>
          <w:tcPr>
            <w:tcW w:w="1944" w:type="dxa"/>
          </w:tcPr>
          <w:p w14:paraId="5DA6CF16" w14:textId="77777777" w:rsidR="00CB4EBF" w:rsidRPr="0018543A" w:rsidRDefault="00CB4EBF" w:rsidP="0054762C">
            <w:pPr>
              <w:rPr>
                <w:sz w:val="20"/>
              </w:rPr>
            </w:pPr>
            <w:r>
              <w:rPr>
                <w:rFonts w:eastAsia="Times New Roman" w:cs="Times New Roman"/>
                <w:noProof/>
                <w:sz w:val="20"/>
                <w:szCs w:val="20"/>
                <w:lang w:val="hr"/>
              </w:rPr>
              <w:t xml:space="preserve">021 razvoj poslovanja i internacionalizacija, </w:t>
            </w:r>
            <w:r>
              <w:rPr>
                <w:rFonts w:eastAsia="Times New Roman" w:cs="Times New Roman"/>
                <w:noProof/>
                <w:sz w:val="20"/>
                <w:szCs w:val="20"/>
                <w:lang w:val="hr"/>
              </w:rPr>
              <w:lastRenderedPageBreak/>
              <w:t xml:space="preserve">uključujući produktivna ulaganja </w:t>
            </w:r>
          </w:p>
        </w:tc>
        <w:tc>
          <w:tcPr>
            <w:tcW w:w="2290" w:type="dxa"/>
          </w:tcPr>
          <w:p w14:paraId="63637288" w14:textId="77777777" w:rsidR="00CB4EBF" w:rsidRPr="0018543A" w:rsidRDefault="00CB4EBF" w:rsidP="0054762C">
            <w:pPr>
              <w:jc w:val="both"/>
              <w:rPr>
                <w:sz w:val="20"/>
              </w:rPr>
            </w:pPr>
            <w:r>
              <w:rPr>
                <w:sz w:val="20"/>
                <w:lang w:val="hr"/>
              </w:rPr>
              <w:lastRenderedPageBreak/>
              <w:t>10 800 000,00</w:t>
            </w:r>
          </w:p>
        </w:tc>
      </w:tr>
    </w:tbl>
    <w:p w14:paraId="67AD6D9C" w14:textId="77777777" w:rsidR="00CB4EBF" w:rsidRPr="001C431F" w:rsidRDefault="00CB4EBF" w:rsidP="00CB4EBF">
      <w:pPr>
        <w:spacing w:after="0" w:line="240" w:lineRule="auto"/>
        <w:jc w:val="both"/>
        <w:rPr>
          <w:rFonts w:eastAsia="Times New Roman" w:cs="Times New Roman"/>
          <w:iCs/>
          <w:noProof/>
          <w:sz w:val="20"/>
          <w:szCs w:val="20"/>
        </w:rPr>
      </w:pPr>
    </w:p>
    <w:p w14:paraId="0352D550"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noProof/>
          <w:sz w:val="20"/>
          <w:szCs w:val="20"/>
          <w:lang w:val="hr"/>
        </w:rPr>
        <w:t>Tablica 5.: Dimenzija 2. – oblik financiranja</w:t>
      </w:r>
    </w:p>
    <w:tbl>
      <w:tblPr>
        <w:tblStyle w:val="TableGrid"/>
        <w:tblW w:w="0" w:type="auto"/>
        <w:tblLook w:val="04A0" w:firstRow="1" w:lastRow="0" w:firstColumn="1" w:lastColumn="0" w:noHBand="0" w:noVBand="1"/>
      </w:tblPr>
      <w:tblGrid>
        <w:gridCol w:w="1810"/>
        <w:gridCol w:w="1636"/>
        <w:gridCol w:w="1844"/>
        <w:gridCol w:w="1216"/>
        <w:gridCol w:w="2554"/>
      </w:tblGrid>
      <w:tr w:rsidR="00CB4EBF" w:rsidRPr="00A23750" w14:paraId="104951FF" w14:textId="77777777" w:rsidTr="0054762C">
        <w:tc>
          <w:tcPr>
            <w:tcW w:w="1819" w:type="dxa"/>
          </w:tcPr>
          <w:p w14:paraId="1BCE1729"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Prioritet br.</w:t>
            </w:r>
          </w:p>
        </w:tc>
        <w:tc>
          <w:tcPr>
            <w:tcW w:w="1646" w:type="dxa"/>
          </w:tcPr>
          <w:p w14:paraId="4C5B431B"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Fond</w:t>
            </w:r>
          </w:p>
        </w:tc>
        <w:tc>
          <w:tcPr>
            <w:tcW w:w="1852" w:type="dxa"/>
          </w:tcPr>
          <w:p w14:paraId="642A5107"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Specifični cilj</w:t>
            </w:r>
          </w:p>
        </w:tc>
        <w:tc>
          <w:tcPr>
            <w:tcW w:w="1176" w:type="dxa"/>
          </w:tcPr>
          <w:p w14:paraId="46735ACD"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 xml:space="preserve">Oznaka </w:t>
            </w:r>
          </w:p>
        </w:tc>
        <w:tc>
          <w:tcPr>
            <w:tcW w:w="2567" w:type="dxa"/>
          </w:tcPr>
          <w:p w14:paraId="526F3B78"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Iznos (EUR)</w:t>
            </w:r>
          </w:p>
        </w:tc>
      </w:tr>
      <w:tr w:rsidR="00CB4EBF" w:rsidRPr="00A23750" w14:paraId="51EBC30B" w14:textId="77777777" w:rsidTr="0054762C">
        <w:tc>
          <w:tcPr>
            <w:tcW w:w="1819" w:type="dxa"/>
          </w:tcPr>
          <w:p w14:paraId="67DB7096"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1.</w:t>
            </w:r>
          </w:p>
        </w:tc>
        <w:tc>
          <w:tcPr>
            <w:tcW w:w="1646" w:type="dxa"/>
          </w:tcPr>
          <w:p w14:paraId="687B193C"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EFRR</w:t>
            </w:r>
          </w:p>
        </w:tc>
        <w:tc>
          <w:tcPr>
            <w:tcW w:w="1852" w:type="dxa"/>
          </w:tcPr>
          <w:p w14:paraId="5583FE78" w14:textId="77777777" w:rsidR="00CB4EBF" w:rsidRPr="001C431F" w:rsidRDefault="00CB4EBF" w:rsidP="0054762C">
            <w:pPr>
              <w:jc w:val="both"/>
              <w:rPr>
                <w:rFonts w:eastAsia="Times New Roman" w:cs="Times New Roman"/>
                <w:b/>
                <w:iCs/>
                <w:noProof/>
                <w:sz w:val="20"/>
                <w:szCs w:val="20"/>
              </w:rPr>
            </w:pPr>
            <w:r>
              <w:rPr>
                <w:rFonts w:eastAsia="Times New Roman" w:cs="Times New Roman"/>
                <w:noProof/>
                <w:sz w:val="20"/>
                <w:szCs w:val="20"/>
                <w:lang w:val="hr"/>
              </w:rPr>
              <w:t>SO 1.3</w:t>
            </w:r>
          </w:p>
        </w:tc>
        <w:tc>
          <w:tcPr>
            <w:tcW w:w="1176" w:type="dxa"/>
          </w:tcPr>
          <w:p w14:paraId="43C61C1B"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01 Bespovratna sredstva</w:t>
            </w:r>
          </w:p>
        </w:tc>
        <w:tc>
          <w:tcPr>
            <w:tcW w:w="2567" w:type="dxa"/>
          </w:tcPr>
          <w:p w14:paraId="223121D6" w14:textId="77777777" w:rsidR="00CB4EBF" w:rsidRPr="0018543A" w:rsidRDefault="00CB4EBF" w:rsidP="0054762C">
            <w:pPr>
              <w:jc w:val="both"/>
              <w:rPr>
                <w:sz w:val="20"/>
              </w:rPr>
            </w:pPr>
            <w:r>
              <w:rPr>
                <w:sz w:val="20"/>
                <w:lang w:val="hr"/>
              </w:rPr>
              <w:t>10 800 000,00</w:t>
            </w:r>
          </w:p>
        </w:tc>
      </w:tr>
    </w:tbl>
    <w:p w14:paraId="5CA64E97" w14:textId="77777777" w:rsidR="00CB4EBF" w:rsidRPr="001C431F" w:rsidRDefault="00CB4EBF" w:rsidP="00CB4EBF">
      <w:pPr>
        <w:spacing w:after="0" w:line="240" w:lineRule="auto"/>
        <w:jc w:val="both"/>
        <w:rPr>
          <w:rFonts w:eastAsia="Times New Roman" w:cs="Times New Roman"/>
          <w:iCs/>
          <w:noProof/>
          <w:sz w:val="20"/>
          <w:szCs w:val="20"/>
        </w:rPr>
      </w:pPr>
    </w:p>
    <w:p w14:paraId="7321EFA3"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noProof/>
          <w:sz w:val="20"/>
          <w:szCs w:val="20"/>
          <w:lang w:val="hr"/>
        </w:rPr>
        <w:t>Tablica 6.: Dimenzija 3. – mehanizam teritorijalne provedbe i teritorijalni fokus</w:t>
      </w:r>
    </w:p>
    <w:tbl>
      <w:tblPr>
        <w:tblStyle w:val="TableGrid"/>
        <w:tblW w:w="0" w:type="auto"/>
        <w:tblLook w:val="04A0" w:firstRow="1" w:lastRow="0" w:firstColumn="1" w:lastColumn="0" w:noHBand="0" w:noVBand="1"/>
      </w:tblPr>
      <w:tblGrid>
        <w:gridCol w:w="1825"/>
        <w:gridCol w:w="1617"/>
        <w:gridCol w:w="1857"/>
        <w:gridCol w:w="1180"/>
        <w:gridCol w:w="2581"/>
      </w:tblGrid>
      <w:tr w:rsidR="00CB4EBF" w:rsidRPr="00A23750" w14:paraId="42923111" w14:textId="77777777" w:rsidTr="0054762C">
        <w:tc>
          <w:tcPr>
            <w:tcW w:w="1825" w:type="dxa"/>
          </w:tcPr>
          <w:p w14:paraId="77F338EC"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Prioritet br.</w:t>
            </w:r>
          </w:p>
        </w:tc>
        <w:tc>
          <w:tcPr>
            <w:tcW w:w="1617" w:type="dxa"/>
          </w:tcPr>
          <w:p w14:paraId="48DBA78D"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Fond</w:t>
            </w:r>
          </w:p>
        </w:tc>
        <w:tc>
          <w:tcPr>
            <w:tcW w:w="1857" w:type="dxa"/>
          </w:tcPr>
          <w:p w14:paraId="2DB7A2C4"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Specifični cilj</w:t>
            </w:r>
          </w:p>
        </w:tc>
        <w:tc>
          <w:tcPr>
            <w:tcW w:w="1180" w:type="dxa"/>
          </w:tcPr>
          <w:p w14:paraId="78EC0B2C"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 xml:space="preserve">Oznaka </w:t>
            </w:r>
          </w:p>
        </w:tc>
        <w:tc>
          <w:tcPr>
            <w:tcW w:w="2581" w:type="dxa"/>
          </w:tcPr>
          <w:p w14:paraId="12758C40"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Iznos (EUR)</w:t>
            </w:r>
          </w:p>
        </w:tc>
      </w:tr>
    </w:tbl>
    <w:tbl>
      <w:tblPr>
        <w:tblStyle w:val="TableGrid1"/>
        <w:tblW w:w="9062" w:type="dxa"/>
        <w:tblLook w:val="04A0" w:firstRow="1" w:lastRow="0" w:firstColumn="1" w:lastColumn="0" w:noHBand="0" w:noVBand="1"/>
      </w:tblPr>
      <w:tblGrid>
        <w:gridCol w:w="1827"/>
        <w:gridCol w:w="1616"/>
        <w:gridCol w:w="1857"/>
        <w:gridCol w:w="1180"/>
        <w:gridCol w:w="2582"/>
      </w:tblGrid>
      <w:tr w:rsidR="00CB4EBF" w:rsidRPr="00A23750" w14:paraId="0CF43FF9" w14:textId="77777777" w:rsidTr="0054762C">
        <w:tc>
          <w:tcPr>
            <w:tcW w:w="1827" w:type="dxa"/>
          </w:tcPr>
          <w:p w14:paraId="7D712D64" w14:textId="77777777" w:rsidR="00CB4EBF" w:rsidRPr="001C431F" w:rsidRDefault="00CB4EBF" w:rsidP="0054762C">
            <w:pPr>
              <w:rPr>
                <w:rFonts w:eastAsia="Times New Roman" w:cs="Times New Roman"/>
                <w:iCs/>
                <w:noProof/>
                <w:sz w:val="20"/>
                <w:szCs w:val="20"/>
              </w:rPr>
            </w:pPr>
            <w:r>
              <w:rPr>
                <w:rFonts w:eastAsia="Times New Roman" w:cs="Times New Roman"/>
                <w:noProof/>
                <w:sz w:val="20"/>
                <w:szCs w:val="20"/>
                <w:lang w:val="hr"/>
              </w:rPr>
              <w:t>1.</w:t>
            </w:r>
          </w:p>
        </w:tc>
        <w:tc>
          <w:tcPr>
            <w:tcW w:w="1616" w:type="dxa"/>
          </w:tcPr>
          <w:p w14:paraId="79E75BD2" w14:textId="77777777" w:rsidR="00CB4EBF" w:rsidRPr="001C431F" w:rsidRDefault="00CB4EBF" w:rsidP="0054762C">
            <w:pPr>
              <w:rPr>
                <w:rFonts w:eastAsia="Times New Roman" w:cs="Times New Roman"/>
                <w:iCs/>
                <w:noProof/>
                <w:sz w:val="20"/>
                <w:szCs w:val="20"/>
              </w:rPr>
            </w:pPr>
            <w:r>
              <w:rPr>
                <w:rFonts w:eastAsia="Times New Roman" w:cs="Times New Roman"/>
                <w:noProof/>
                <w:sz w:val="20"/>
                <w:szCs w:val="20"/>
                <w:lang w:val="hr"/>
              </w:rPr>
              <w:t>EFRR</w:t>
            </w:r>
          </w:p>
        </w:tc>
        <w:tc>
          <w:tcPr>
            <w:tcW w:w="1857" w:type="dxa"/>
          </w:tcPr>
          <w:p w14:paraId="3BBA894A" w14:textId="77777777" w:rsidR="00CB4EBF" w:rsidRPr="001C431F" w:rsidRDefault="00CB4EBF" w:rsidP="0054762C">
            <w:pPr>
              <w:rPr>
                <w:rFonts w:eastAsia="Times New Roman" w:cs="Times New Roman"/>
                <w:iCs/>
                <w:noProof/>
                <w:sz w:val="20"/>
                <w:szCs w:val="20"/>
              </w:rPr>
            </w:pPr>
            <w:r>
              <w:rPr>
                <w:rFonts w:eastAsia="Times New Roman" w:cs="Times New Roman"/>
                <w:noProof/>
                <w:sz w:val="20"/>
                <w:szCs w:val="20"/>
                <w:lang w:val="hr"/>
              </w:rPr>
              <w:t>SO 1.3</w:t>
            </w:r>
          </w:p>
        </w:tc>
        <w:tc>
          <w:tcPr>
            <w:tcW w:w="1180" w:type="dxa"/>
          </w:tcPr>
          <w:p w14:paraId="7E31BB6A" w14:textId="77777777" w:rsidR="00CB4EBF" w:rsidRPr="001C431F" w:rsidRDefault="00CB4EBF" w:rsidP="0054762C">
            <w:pPr>
              <w:rPr>
                <w:rFonts w:eastAsia="Times New Roman" w:cs="Times New Roman"/>
                <w:iCs/>
                <w:noProof/>
                <w:sz w:val="20"/>
                <w:szCs w:val="20"/>
              </w:rPr>
            </w:pPr>
            <w:r>
              <w:rPr>
                <w:rFonts w:eastAsia="Times New Roman" w:cs="Times New Roman"/>
                <w:noProof/>
                <w:sz w:val="20"/>
                <w:szCs w:val="20"/>
                <w:lang w:val="hr"/>
              </w:rPr>
              <w:t>33 Bez ciljanog teritorija</w:t>
            </w:r>
          </w:p>
        </w:tc>
        <w:tc>
          <w:tcPr>
            <w:tcW w:w="2582" w:type="dxa"/>
          </w:tcPr>
          <w:p w14:paraId="54EFC20D" w14:textId="77777777" w:rsidR="00CB4EBF" w:rsidRPr="001C431F" w:rsidRDefault="00CB4EBF" w:rsidP="0054762C">
            <w:pPr>
              <w:rPr>
                <w:rFonts w:cs="Times New Roman"/>
                <w:color w:val="000000"/>
                <w:sz w:val="20"/>
                <w:szCs w:val="20"/>
              </w:rPr>
            </w:pPr>
            <w:r>
              <w:rPr>
                <w:rFonts w:cs="Times New Roman"/>
                <w:color w:val="000000"/>
                <w:sz w:val="20"/>
                <w:szCs w:val="20"/>
                <w:lang w:val="hr"/>
              </w:rPr>
              <w:t>10 800 000,00</w:t>
            </w:r>
          </w:p>
        </w:tc>
      </w:tr>
    </w:tbl>
    <w:p w14:paraId="1146DF5E" w14:textId="77777777" w:rsidR="00CB4EBF" w:rsidRPr="001C431F" w:rsidRDefault="00CB4EBF" w:rsidP="00CB4EBF">
      <w:pPr>
        <w:pStyle w:val="ListParagraph"/>
        <w:spacing w:after="0" w:line="240" w:lineRule="auto"/>
        <w:ind w:left="360"/>
        <w:jc w:val="both"/>
        <w:rPr>
          <w:rFonts w:eastAsia="Times New Roman" w:cs="Times New Roman"/>
          <w:i/>
          <w:noProof/>
          <w:color w:val="000000"/>
          <w:sz w:val="20"/>
          <w:szCs w:val="20"/>
        </w:rPr>
      </w:pPr>
    </w:p>
    <w:p w14:paraId="66F3DD8E" w14:textId="77777777" w:rsidR="00CB4EBF" w:rsidRDefault="00CB4EBF" w:rsidP="00CB4EBF">
      <w:pPr>
        <w:rPr>
          <w:rFonts w:eastAsia="Times New Roman" w:cs="Times New Roman"/>
          <w:b/>
          <w:noProof/>
          <w:color w:val="000000"/>
          <w:sz w:val="20"/>
          <w:szCs w:val="20"/>
        </w:rPr>
      </w:pPr>
      <w:r>
        <w:rPr>
          <w:rFonts w:eastAsia="Times New Roman" w:cs="Times New Roman"/>
          <w:b/>
          <w:bCs/>
          <w:noProof/>
          <w:color w:val="000000"/>
          <w:sz w:val="20"/>
          <w:szCs w:val="20"/>
          <w:lang w:val="hr"/>
        </w:rPr>
        <w:br w:type="page"/>
      </w:r>
    </w:p>
    <w:p w14:paraId="34878A92" w14:textId="77777777" w:rsidR="00CB4EBF" w:rsidRPr="001C431F" w:rsidRDefault="00CB4EBF" w:rsidP="00CB4EBF">
      <w:pPr>
        <w:spacing w:after="0" w:line="240" w:lineRule="auto"/>
        <w:jc w:val="both"/>
        <w:rPr>
          <w:rFonts w:eastAsia="Times New Roman" w:cs="Times New Roman"/>
          <w:b/>
          <w:noProof/>
          <w:color w:val="000000"/>
          <w:sz w:val="20"/>
          <w:szCs w:val="20"/>
        </w:rPr>
      </w:pPr>
      <w:r>
        <w:rPr>
          <w:rFonts w:eastAsia="Times New Roman" w:cs="Times New Roman"/>
          <w:b/>
          <w:bCs/>
          <w:noProof/>
          <w:color w:val="000000"/>
          <w:sz w:val="20"/>
          <w:szCs w:val="20"/>
          <w:lang w:val="hr"/>
        </w:rPr>
        <w:lastRenderedPageBreak/>
        <w:t>Prioritet br. 2. Zelenija pogranična regija s niskom razinom emisija ugljika</w:t>
      </w:r>
    </w:p>
    <w:p w14:paraId="4EDBD1CA"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i/>
          <w:iCs/>
          <w:noProof/>
          <w:color w:val="000000"/>
          <w:sz w:val="20"/>
          <w:szCs w:val="20"/>
          <w:lang w:val="hr"/>
        </w:rPr>
        <w:t>Upućivanje: članak 17. stavak 3. točka (d)</w:t>
      </w:r>
    </w:p>
    <w:p w14:paraId="620C088C"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p>
    <w:p w14:paraId="02B0DEB8" w14:textId="77777777" w:rsidR="00CB4EBF" w:rsidRPr="001C431F" w:rsidRDefault="00CB4EBF" w:rsidP="00CB4EBF">
      <w:pPr>
        <w:spacing w:after="0" w:line="240" w:lineRule="auto"/>
        <w:ind w:left="709" w:hanging="709"/>
        <w:jc w:val="both"/>
        <w:rPr>
          <w:rFonts w:eastAsia="Times New Roman" w:cs="Times New Roman"/>
          <w:iCs/>
          <w:noProof/>
          <w:sz w:val="20"/>
          <w:szCs w:val="20"/>
        </w:rPr>
      </w:pPr>
      <w:r>
        <w:rPr>
          <w:rFonts w:eastAsia="Times New Roman" w:cs="Times New Roman"/>
          <w:b/>
          <w:bCs/>
          <w:sz w:val="20"/>
          <w:szCs w:val="20"/>
          <w:lang w:val="hr"/>
        </w:rPr>
        <w:t>i. promicanje energetske učinkovitosti i smanjenje emisija stakleničkih plinova</w:t>
      </w:r>
    </w:p>
    <w:p w14:paraId="565CF5FC"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i/>
          <w:iCs/>
          <w:noProof/>
          <w:color w:val="000000"/>
          <w:sz w:val="20"/>
          <w:szCs w:val="20"/>
          <w:lang w:val="hr"/>
        </w:rPr>
        <w:t>Upućivanje: članak 17. stavak 3. točka (e)</w:t>
      </w:r>
    </w:p>
    <w:p w14:paraId="4755A6C8"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p>
    <w:p w14:paraId="3BEC1628" w14:textId="77777777" w:rsidR="00CB4EBF" w:rsidRPr="001C431F" w:rsidRDefault="00CB4EBF" w:rsidP="00CB4EBF">
      <w:pPr>
        <w:spacing w:after="0" w:line="240" w:lineRule="auto"/>
        <w:jc w:val="both"/>
        <w:rPr>
          <w:rFonts w:eastAsia="Times New Roman" w:cs="Times New Roman"/>
          <w:b/>
          <w:iCs/>
          <w:sz w:val="20"/>
          <w:szCs w:val="20"/>
        </w:rPr>
      </w:pPr>
      <w:r>
        <w:rPr>
          <w:rFonts w:eastAsia="Times New Roman" w:cs="Times New Roman"/>
          <w:b/>
          <w:bCs/>
          <w:sz w:val="20"/>
          <w:szCs w:val="20"/>
          <w:lang w:val="hr"/>
        </w:rPr>
        <w:t xml:space="preserve">Povezane vrste djelovanja i njihov očekivani doprinos tim specifičnim ciljevima i </w:t>
      </w:r>
      <w:proofErr w:type="spellStart"/>
      <w:r>
        <w:rPr>
          <w:rFonts w:eastAsia="Times New Roman" w:cs="Times New Roman"/>
          <w:b/>
          <w:bCs/>
          <w:sz w:val="20"/>
          <w:szCs w:val="20"/>
          <w:lang w:val="hr"/>
        </w:rPr>
        <w:t>makroregionalnim</w:t>
      </w:r>
      <w:proofErr w:type="spellEnd"/>
      <w:r>
        <w:rPr>
          <w:rFonts w:eastAsia="Times New Roman" w:cs="Times New Roman"/>
          <w:b/>
          <w:bCs/>
          <w:sz w:val="20"/>
          <w:szCs w:val="20"/>
          <w:lang w:val="hr"/>
        </w:rPr>
        <w:t xml:space="preserve"> strategijama te strategijama morskih bazena, prema potrebi</w:t>
      </w:r>
    </w:p>
    <w:p w14:paraId="6B1ACBA7" w14:textId="77777777" w:rsidR="00CB4EBF" w:rsidRDefault="00CB4EBF" w:rsidP="00CB4EBF">
      <w:pPr>
        <w:spacing w:after="0" w:line="240" w:lineRule="auto"/>
        <w:jc w:val="both"/>
        <w:rPr>
          <w:rFonts w:eastAsia="Times New Roman" w:cs="Times New Roman"/>
          <w:i/>
          <w:noProof/>
          <w:color w:val="000000"/>
          <w:sz w:val="20"/>
          <w:szCs w:val="20"/>
        </w:rPr>
      </w:pPr>
      <w:r>
        <w:rPr>
          <w:rFonts w:eastAsia="Times New Roman" w:cs="Times New Roman"/>
          <w:i/>
          <w:iCs/>
          <w:noProof/>
          <w:color w:val="000000"/>
          <w:sz w:val="20"/>
          <w:szCs w:val="20"/>
          <w:lang w:val="hr"/>
        </w:rPr>
        <w:t>Upućivanje: članak 17. stavak 3. točka (e) podtočka i., članak 17. stavak 9. točka (c) podtočka ii.</w:t>
      </w:r>
    </w:p>
    <w:p w14:paraId="7E03BEAC" w14:textId="77777777" w:rsidR="00CB4EBF" w:rsidRDefault="00CB4EBF" w:rsidP="00CB4EBF">
      <w:pPr>
        <w:spacing w:after="0" w:line="240" w:lineRule="auto"/>
        <w:jc w:val="both"/>
        <w:rPr>
          <w:rFonts w:eastAsia="Times New Roman" w:cs="Times New Roman"/>
          <w:i/>
          <w:noProof/>
          <w:color w:val="000000"/>
          <w:sz w:val="20"/>
          <w:szCs w:val="20"/>
        </w:rPr>
      </w:pPr>
    </w:p>
    <w:p w14:paraId="70B6DA2C" w14:textId="77777777" w:rsidR="00CB4EBF" w:rsidRPr="001C431F" w:rsidRDefault="00CB4EBF" w:rsidP="00CB4EBF">
      <w:pPr>
        <w:spacing w:after="0"/>
        <w:jc w:val="both"/>
        <w:rPr>
          <w:rFonts w:cs="Times New Roman"/>
          <w:sz w:val="20"/>
          <w:szCs w:val="20"/>
        </w:rPr>
      </w:pPr>
      <w:r>
        <w:rPr>
          <w:rFonts w:cs="Times New Roman"/>
          <w:sz w:val="20"/>
          <w:szCs w:val="20"/>
          <w:lang w:val="hr"/>
        </w:rPr>
        <w:t>Očekivani rezultati:</w:t>
      </w:r>
    </w:p>
    <w:p w14:paraId="31DCB668" w14:textId="77777777" w:rsidR="00CB4EBF" w:rsidRPr="00FC3D97" w:rsidRDefault="00CB4EBF" w:rsidP="00CB4EBF">
      <w:pPr>
        <w:spacing w:after="0"/>
        <w:jc w:val="both"/>
        <w:rPr>
          <w:rFonts w:cs="Times New Roman"/>
          <w:sz w:val="20"/>
          <w:szCs w:val="20"/>
        </w:rPr>
      </w:pPr>
      <w:r>
        <w:rPr>
          <w:rFonts w:cs="Times New Roman"/>
          <w:sz w:val="20"/>
          <w:szCs w:val="20"/>
          <w:lang w:val="hr"/>
        </w:rPr>
        <w:t>Zajednički projekti za nisku razinu emisija ugljika pokreću prekogranična nastojanja za jačanje energetske svijesti lokalnih građana i pronalaženje zajedničkih inovativnih rješenja za smanjenje emisija stakleničkih plinova. Ove prekogranične inicijative učinkovito pridonose većim ulaganjima za nisku razinu emisija ugljika i kroz prekogranična partnerstva potiču suradničke radnje i institucionalnu suradnju u području energetske učinkovitosti i upotrebe obnovljivih izvora energije.</w:t>
      </w:r>
    </w:p>
    <w:p w14:paraId="7B4E8753" w14:textId="77777777" w:rsidR="00CB4EBF" w:rsidRPr="001C431F" w:rsidRDefault="00CB4EBF" w:rsidP="00CB4EBF">
      <w:pPr>
        <w:spacing w:after="0"/>
        <w:jc w:val="both"/>
        <w:rPr>
          <w:rFonts w:cs="Times New Roman"/>
          <w:sz w:val="20"/>
          <w:szCs w:val="20"/>
        </w:rPr>
      </w:pPr>
    </w:p>
    <w:p w14:paraId="0EAA694D" w14:textId="77777777" w:rsidR="00CB4EBF" w:rsidRDefault="00CB4EBF" w:rsidP="00CB4EBF">
      <w:pPr>
        <w:spacing w:after="0"/>
        <w:jc w:val="both"/>
        <w:rPr>
          <w:rFonts w:cs="Times New Roman"/>
          <w:sz w:val="20"/>
          <w:szCs w:val="20"/>
        </w:rPr>
      </w:pPr>
      <w:r>
        <w:rPr>
          <w:rFonts w:cs="Times New Roman"/>
          <w:sz w:val="20"/>
          <w:szCs w:val="20"/>
          <w:lang w:val="hr"/>
        </w:rPr>
        <w:t xml:space="preserve">Ukupna je potrošnja energije u trendu rasta zbog ogromnog povećanja potrošnje kućanstava zbog zastarjelog fonda zgrada i niske razine energetske svijesti. Energetska učinkovitost, energetska obnova javnih i privatnih zgrada vrlo je važna za programsko područje u skladu s </w:t>
      </w:r>
      <w:hyperlink r:id="rId10" w:history="1">
        <w:r>
          <w:rPr>
            <w:rFonts w:cs="Times New Roman"/>
            <w:sz w:val="20"/>
            <w:szCs w:val="20"/>
            <w:lang w:val="hr"/>
          </w:rPr>
          <w:t>valom obnove</w:t>
        </w:r>
      </w:hyperlink>
      <w:r>
        <w:rPr>
          <w:rFonts w:cs="Times New Roman"/>
          <w:sz w:val="20"/>
          <w:szCs w:val="20"/>
          <w:lang w:val="hr"/>
        </w:rPr>
        <w:t xml:space="preserve"> Europskog zelenog plana.</w:t>
      </w:r>
    </w:p>
    <w:p w14:paraId="3A96630C" w14:textId="77777777" w:rsidR="00CB4EBF" w:rsidRPr="001C431F" w:rsidRDefault="00CB4EBF" w:rsidP="00CB4EBF">
      <w:pPr>
        <w:spacing w:after="0"/>
        <w:jc w:val="both"/>
        <w:rPr>
          <w:rFonts w:cs="Times New Roman"/>
          <w:sz w:val="20"/>
          <w:szCs w:val="20"/>
        </w:rPr>
      </w:pPr>
    </w:p>
    <w:p w14:paraId="3662A66A" w14:textId="77777777" w:rsidR="00CB4EBF" w:rsidRDefault="00CB4EBF" w:rsidP="00CB4EBF">
      <w:pPr>
        <w:spacing w:after="0"/>
        <w:jc w:val="both"/>
        <w:rPr>
          <w:rFonts w:cs="Times New Roman"/>
          <w:sz w:val="20"/>
          <w:szCs w:val="20"/>
        </w:rPr>
      </w:pPr>
      <w:r>
        <w:rPr>
          <w:rFonts w:cs="Times New Roman"/>
          <w:sz w:val="20"/>
          <w:szCs w:val="20"/>
          <w:lang w:val="hr"/>
        </w:rPr>
        <w:t>Iako se regija uglavnom oslanja na fosilna goriva, potrebno je dodatno rast udjela obnovljivih izvora energije treba na temelju potencijalnih lokalnih obnovljivih izvora. U tom području biomasa, sunčeva i geotermalna energija imaju stvarne potencijale koji mogu poslužiti kao osnova za buduće projekte.</w:t>
      </w:r>
    </w:p>
    <w:p w14:paraId="01970F4C" w14:textId="77777777" w:rsidR="00CB4EBF" w:rsidRPr="001C431F" w:rsidRDefault="00CB4EBF" w:rsidP="00CB4EBF">
      <w:pPr>
        <w:spacing w:after="0"/>
        <w:jc w:val="both"/>
        <w:rPr>
          <w:rFonts w:cs="Times New Roman"/>
          <w:sz w:val="20"/>
          <w:szCs w:val="20"/>
        </w:rPr>
      </w:pPr>
    </w:p>
    <w:p w14:paraId="1B328179" w14:textId="77777777" w:rsidR="00CB4EBF" w:rsidRDefault="00CB4EBF" w:rsidP="00CB4EBF">
      <w:pPr>
        <w:spacing w:after="0"/>
        <w:jc w:val="both"/>
        <w:rPr>
          <w:rFonts w:cs="Times New Roman"/>
          <w:sz w:val="20"/>
          <w:szCs w:val="20"/>
        </w:rPr>
      </w:pPr>
      <w:r>
        <w:rPr>
          <w:rFonts w:cs="Times New Roman"/>
          <w:sz w:val="20"/>
          <w:szCs w:val="20"/>
          <w:lang w:val="hr"/>
        </w:rPr>
        <w:t>U okviru prekogranične suradnje potrebno je slijediti integrirani pristup za smanjenje emisije stakleničkih plinova i ugljičnog otiska. To znači da prednost treba dati onim projektima koji integriraju energetsku učinkovitost i mjere usmjerene na obnovljivu energiju da bi se postigao optimalan učinak. I komplementarnost s glavnim operativnim programima je od ključne važnosti, prekogranični projekti u tom pogledu mogu pridonijeti rezultatima glavnih projekata usmjerenih na razvoj infrastrukture, uglavnom u prepoznavanju i širenju novih metodologija, inovativnih rješenja i u pokretanju zajedničkih djelovanja za podizanje svijesti lokalnih građana o važnosti inicijativa za niske emisije ugljike.</w:t>
      </w:r>
    </w:p>
    <w:p w14:paraId="7B9DAE89" w14:textId="77777777" w:rsidR="00CB4EBF" w:rsidRPr="001C431F" w:rsidRDefault="00CB4EBF" w:rsidP="00CB4EBF">
      <w:pPr>
        <w:spacing w:after="0"/>
        <w:jc w:val="both"/>
        <w:rPr>
          <w:rFonts w:cs="Times New Roman"/>
          <w:sz w:val="20"/>
          <w:szCs w:val="20"/>
        </w:rPr>
      </w:pPr>
    </w:p>
    <w:p w14:paraId="6B3DB038" w14:textId="77777777" w:rsidR="00CB4EBF" w:rsidRPr="001C431F" w:rsidRDefault="00CB4EBF" w:rsidP="00CB4EBF">
      <w:pPr>
        <w:spacing w:after="0"/>
        <w:jc w:val="both"/>
        <w:rPr>
          <w:rFonts w:cs="Times New Roman"/>
          <w:sz w:val="20"/>
          <w:szCs w:val="20"/>
        </w:rPr>
      </w:pPr>
      <w:r>
        <w:rPr>
          <w:rFonts w:cs="Times New Roman"/>
          <w:sz w:val="20"/>
          <w:szCs w:val="20"/>
          <w:lang w:val="hr"/>
        </w:rPr>
        <w:t>Potporu će dobiti projekti za niske emisije ugljika sa sljedećim intervencijskim područjima, među ostalim:</w:t>
      </w:r>
    </w:p>
    <w:p w14:paraId="389E52E6" w14:textId="77777777" w:rsidR="00CB4EBF" w:rsidRPr="00B04DD4" w:rsidRDefault="00CB4EBF" w:rsidP="00CB4EBF">
      <w:pPr>
        <w:pStyle w:val="ListParagraph"/>
        <w:numPr>
          <w:ilvl w:val="0"/>
          <w:numId w:val="10"/>
        </w:numPr>
        <w:spacing w:after="0"/>
        <w:jc w:val="both"/>
        <w:rPr>
          <w:rFonts w:cs="Times New Roman"/>
          <w:sz w:val="20"/>
          <w:szCs w:val="20"/>
        </w:rPr>
      </w:pPr>
      <w:r>
        <w:rPr>
          <w:rFonts w:cs="Times New Roman"/>
          <w:sz w:val="20"/>
          <w:szCs w:val="20"/>
          <w:lang w:val="hr"/>
        </w:rPr>
        <w:t>poticanje vala obnove u javnim i privatnim zgradama u skladu sa standardima energetske učinkovitosti (zgrade približno nulte energije);</w:t>
      </w:r>
    </w:p>
    <w:p w14:paraId="2CDF1374" w14:textId="77777777" w:rsidR="00CB4EBF" w:rsidRPr="00B04DD4" w:rsidRDefault="00CB4EBF" w:rsidP="00CB4EBF">
      <w:pPr>
        <w:pStyle w:val="ListParagraph"/>
        <w:numPr>
          <w:ilvl w:val="0"/>
          <w:numId w:val="10"/>
        </w:numPr>
        <w:spacing w:after="0"/>
        <w:jc w:val="both"/>
        <w:rPr>
          <w:rFonts w:cs="Times New Roman"/>
          <w:sz w:val="20"/>
          <w:szCs w:val="20"/>
        </w:rPr>
      </w:pPr>
      <w:r>
        <w:rPr>
          <w:rFonts w:cs="Times New Roman"/>
          <w:sz w:val="20"/>
          <w:szCs w:val="20"/>
          <w:lang w:val="hr"/>
        </w:rPr>
        <w:t>doprinos prijelazu na čistu energiju i pristupačnoj upotrebi obnovljivih izvora energije (geotermalna, solarna, biomasa itd.);</w:t>
      </w:r>
    </w:p>
    <w:p w14:paraId="04FA1113" w14:textId="77777777" w:rsidR="00CB4EBF" w:rsidRPr="00B04DD4" w:rsidRDefault="00CB4EBF" w:rsidP="00CB4EBF">
      <w:pPr>
        <w:pStyle w:val="ListParagraph"/>
        <w:numPr>
          <w:ilvl w:val="0"/>
          <w:numId w:val="10"/>
        </w:numPr>
        <w:spacing w:after="0"/>
        <w:jc w:val="both"/>
        <w:rPr>
          <w:rFonts w:cs="Times New Roman"/>
          <w:sz w:val="20"/>
          <w:szCs w:val="20"/>
        </w:rPr>
      </w:pPr>
      <w:r>
        <w:rPr>
          <w:rFonts w:cs="Times New Roman"/>
          <w:sz w:val="20"/>
          <w:szCs w:val="20"/>
          <w:lang w:val="hr"/>
        </w:rPr>
        <w:t>borba protiv energetskog siromaštva za kućanstva;</w:t>
      </w:r>
    </w:p>
    <w:p w14:paraId="086DC7C5" w14:textId="77777777" w:rsidR="00CB4EBF" w:rsidRPr="00B04DD4" w:rsidRDefault="00CB4EBF" w:rsidP="00CB4EBF">
      <w:pPr>
        <w:pStyle w:val="ListParagraph"/>
        <w:numPr>
          <w:ilvl w:val="0"/>
          <w:numId w:val="10"/>
        </w:numPr>
        <w:spacing w:after="0"/>
        <w:jc w:val="both"/>
        <w:rPr>
          <w:rFonts w:cs="Times New Roman"/>
          <w:sz w:val="20"/>
          <w:szCs w:val="20"/>
        </w:rPr>
      </w:pPr>
      <w:r>
        <w:rPr>
          <w:rFonts w:cs="Times New Roman"/>
          <w:sz w:val="20"/>
          <w:szCs w:val="20"/>
          <w:lang w:val="hr"/>
        </w:rPr>
        <w:t>podržavanje pametnih i inovativnih tehnologija niske emisije;</w:t>
      </w:r>
    </w:p>
    <w:p w14:paraId="76957714" w14:textId="77777777" w:rsidR="00CB4EBF" w:rsidRPr="00B04DD4" w:rsidRDefault="00CB4EBF" w:rsidP="00CB4EBF">
      <w:pPr>
        <w:pStyle w:val="ListParagraph"/>
        <w:numPr>
          <w:ilvl w:val="0"/>
          <w:numId w:val="10"/>
        </w:numPr>
        <w:spacing w:after="0"/>
        <w:jc w:val="both"/>
        <w:rPr>
          <w:rFonts w:cs="Times New Roman"/>
          <w:sz w:val="20"/>
          <w:szCs w:val="20"/>
        </w:rPr>
      </w:pPr>
      <w:proofErr w:type="spellStart"/>
      <w:r>
        <w:rPr>
          <w:rFonts w:cs="Times New Roman"/>
          <w:sz w:val="20"/>
          <w:szCs w:val="20"/>
          <w:lang w:val="hr"/>
        </w:rPr>
        <w:t>dekarbonizacija</w:t>
      </w:r>
      <w:proofErr w:type="spellEnd"/>
      <w:r>
        <w:rPr>
          <w:rFonts w:cs="Times New Roman"/>
          <w:sz w:val="20"/>
          <w:szCs w:val="20"/>
          <w:lang w:val="hr"/>
        </w:rPr>
        <w:t xml:space="preserve"> industrija;</w:t>
      </w:r>
    </w:p>
    <w:p w14:paraId="5F06220A" w14:textId="77777777" w:rsidR="00CB4EBF" w:rsidRPr="00B04DD4" w:rsidRDefault="00CB4EBF" w:rsidP="00CB4EBF">
      <w:pPr>
        <w:pStyle w:val="ListParagraph"/>
        <w:numPr>
          <w:ilvl w:val="0"/>
          <w:numId w:val="10"/>
        </w:numPr>
        <w:spacing w:after="0"/>
        <w:jc w:val="both"/>
        <w:rPr>
          <w:rFonts w:cs="Times New Roman"/>
          <w:sz w:val="20"/>
          <w:szCs w:val="20"/>
        </w:rPr>
      </w:pPr>
      <w:r>
        <w:rPr>
          <w:rFonts w:cs="Times New Roman"/>
          <w:sz w:val="20"/>
          <w:szCs w:val="20"/>
          <w:lang w:val="hr"/>
        </w:rPr>
        <w:t>digitalizacija u službi održivosti okoliša;</w:t>
      </w:r>
    </w:p>
    <w:p w14:paraId="0954C981" w14:textId="77777777" w:rsidR="00CB4EBF" w:rsidRPr="00B04DD4" w:rsidRDefault="00CB4EBF" w:rsidP="00CB4EBF">
      <w:pPr>
        <w:pStyle w:val="ListParagraph"/>
        <w:numPr>
          <w:ilvl w:val="0"/>
          <w:numId w:val="10"/>
        </w:numPr>
        <w:spacing w:after="0"/>
        <w:jc w:val="both"/>
        <w:rPr>
          <w:rFonts w:cs="Times New Roman"/>
          <w:sz w:val="20"/>
          <w:szCs w:val="20"/>
        </w:rPr>
      </w:pPr>
      <w:r>
        <w:rPr>
          <w:sz w:val="20"/>
          <w:szCs w:val="20"/>
          <w:lang w:val="hr"/>
        </w:rPr>
        <w:t>poticanje e-mobilnosti kao rješenja za prijenos čiste energije;</w:t>
      </w:r>
    </w:p>
    <w:p w14:paraId="14C3149C" w14:textId="77777777" w:rsidR="00CB4EBF" w:rsidRPr="00B04DD4" w:rsidRDefault="00CB4EBF" w:rsidP="00CB4EBF">
      <w:pPr>
        <w:pStyle w:val="ListParagraph"/>
        <w:numPr>
          <w:ilvl w:val="0"/>
          <w:numId w:val="10"/>
        </w:numPr>
        <w:spacing w:after="0"/>
        <w:jc w:val="both"/>
        <w:rPr>
          <w:rFonts w:cs="Times New Roman"/>
          <w:sz w:val="20"/>
          <w:szCs w:val="20"/>
        </w:rPr>
      </w:pPr>
      <w:r>
        <w:rPr>
          <w:rFonts w:cs="Times New Roman"/>
          <w:sz w:val="20"/>
          <w:szCs w:val="20"/>
          <w:lang w:val="hr"/>
        </w:rPr>
        <w:t>podizanje predanosti građana i osnaživanje regionalnih i lokalnih zajednica za energetsku svijest i održivo ponašanje u skladu s Europskim klimatskim paktom.</w:t>
      </w:r>
    </w:p>
    <w:p w14:paraId="1AFA67BC" w14:textId="77777777" w:rsidR="00CB4EBF" w:rsidRDefault="00CB4EBF" w:rsidP="00CB4EBF">
      <w:pPr>
        <w:spacing w:after="0"/>
        <w:jc w:val="both"/>
        <w:rPr>
          <w:rFonts w:cs="Times New Roman"/>
          <w:sz w:val="20"/>
          <w:szCs w:val="20"/>
        </w:rPr>
      </w:pPr>
    </w:p>
    <w:p w14:paraId="136A6094" w14:textId="77777777" w:rsidR="00CB4EBF" w:rsidRPr="001C431F" w:rsidRDefault="00CB4EBF" w:rsidP="00CB4EBF">
      <w:pPr>
        <w:spacing w:after="0"/>
        <w:jc w:val="both"/>
        <w:rPr>
          <w:rFonts w:cs="Times New Roman"/>
          <w:sz w:val="20"/>
          <w:szCs w:val="20"/>
        </w:rPr>
      </w:pPr>
      <w:r>
        <w:rPr>
          <w:rFonts w:cs="Times New Roman"/>
          <w:sz w:val="20"/>
          <w:szCs w:val="20"/>
          <w:lang w:val="hr"/>
        </w:rPr>
        <w:t xml:space="preserve">Radnje koje se trebaju podržati </w:t>
      </w:r>
      <w:bookmarkStart w:id="5" w:name="_Hlk73016920"/>
      <w:r>
        <w:rPr>
          <w:rFonts w:cs="Times New Roman"/>
          <w:sz w:val="20"/>
          <w:szCs w:val="20"/>
          <w:lang w:val="hr"/>
        </w:rPr>
        <w:t>shemama potpore s otvorenim pozivom, među ostalim:</w:t>
      </w:r>
      <w:bookmarkEnd w:id="5"/>
    </w:p>
    <w:p w14:paraId="7307D9F7" w14:textId="77777777" w:rsidR="00CB4EBF" w:rsidRPr="001C431F" w:rsidRDefault="00CB4EBF" w:rsidP="00CB4EBF">
      <w:pPr>
        <w:pStyle w:val="ListParagraph"/>
        <w:numPr>
          <w:ilvl w:val="0"/>
          <w:numId w:val="10"/>
        </w:numPr>
        <w:spacing w:after="0"/>
        <w:jc w:val="both"/>
        <w:rPr>
          <w:rFonts w:cs="Times New Roman"/>
          <w:sz w:val="20"/>
          <w:szCs w:val="20"/>
        </w:rPr>
      </w:pPr>
      <w:r>
        <w:rPr>
          <w:rFonts w:cs="Times New Roman"/>
          <w:sz w:val="20"/>
          <w:szCs w:val="20"/>
          <w:lang w:val="hr"/>
        </w:rPr>
        <w:t>istraživanje, prikupljanje podataka i izrada zajedničkih prekograničnih teritorijalnih analiza i studija u svrhu poticanja energetski učinkovite obnove i korištenja različitih obnovljivih izvora energije u javnim i privatnim objektima;</w:t>
      </w:r>
    </w:p>
    <w:p w14:paraId="0F41CE85" w14:textId="77777777" w:rsidR="00CB4EBF" w:rsidRPr="001C431F" w:rsidRDefault="00CB4EBF" w:rsidP="00CB4EBF">
      <w:pPr>
        <w:pStyle w:val="ListParagraph"/>
        <w:numPr>
          <w:ilvl w:val="0"/>
          <w:numId w:val="10"/>
        </w:numPr>
        <w:spacing w:after="0"/>
        <w:jc w:val="both"/>
        <w:rPr>
          <w:rFonts w:cs="Times New Roman"/>
          <w:sz w:val="20"/>
          <w:szCs w:val="20"/>
        </w:rPr>
      </w:pPr>
      <w:r>
        <w:rPr>
          <w:rFonts w:cs="Times New Roman"/>
          <w:sz w:val="20"/>
          <w:szCs w:val="20"/>
          <w:lang w:val="hr"/>
        </w:rPr>
        <w:t>izrada smjernica i metodoloških radova o optimalnim intervencijama za niske emisije ugljika za različite ciljne skupine;</w:t>
      </w:r>
    </w:p>
    <w:p w14:paraId="6A9C8C78" w14:textId="77777777" w:rsidR="00CB4EBF" w:rsidRDefault="00CB4EBF" w:rsidP="00CB4EBF">
      <w:pPr>
        <w:pStyle w:val="ListParagraph"/>
        <w:numPr>
          <w:ilvl w:val="0"/>
          <w:numId w:val="10"/>
        </w:numPr>
        <w:spacing w:after="0"/>
        <w:jc w:val="both"/>
        <w:rPr>
          <w:rFonts w:cs="Times New Roman"/>
          <w:sz w:val="20"/>
          <w:szCs w:val="20"/>
        </w:rPr>
      </w:pPr>
      <w:r>
        <w:rPr>
          <w:rFonts w:cs="Times New Roman"/>
          <w:sz w:val="20"/>
          <w:szCs w:val="20"/>
          <w:lang w:val="hr"/>
        </w:rPr>
        <w:lastRenderedPageBreak/>
        <w:t>razvoj zajedničkih baza podataka, inovativnih alata i metodologija za održivo upravljanje energijom s naglaskom na različite ciljne skupine, energetsku učinkovitost i inicijative za obnovljivu energiju;</w:t>
      </w:r>
    </w:p>
    <w:p w14:paraId="12C5D4BA" w14:textId="77777777" w:rsidR="00CB4EBF" w:rsidRPr="00FC3D97" w:rsidRDefault="00CB4EBF" w:rsidP="00CB4EBF">
      <w:pPr>
        <w:pStyle w:val="ListParagraph"/>
        <w:numPr>
          <w:ilvl w:val="0"/>
          <w:numId w:val="10"/>
        </w:numPr>
        <w:spacing w:after="0"/>
        <w:jc w:val="both"/>
        <w:rPr>
          <w:rFonts w:cs="Times New Roman"/>
          <w:sz w:val="20"/>
          <w:szCs w:val="20"/>
        </w:rPr>
      </w:pPr>
      <w:bookmarkStart w:id="6" w:name="_Hlk99365397"/>
      <w:proofErr w:type="spellStart"/>
      <w:r>
        <w:rPr>
          <w:rFonts w:cs="Times New Roman"/>
          <w:sz w:val="20"/>
          <w:szCs w:val="20"/>
          <w:lang w:val="hr"/>
        </w:rPr>
        <w:t>niskougljična</w:t>
      </w:r>
      <w:proofErr w:type="spellEnd"/>
      <w:r>
        <w:rPr>
          <w:rFonts w:cs="Times New Roman"/>
          <w:sz w:val="20"/>
          <w:szCs w:val="20"/>
          <w:lang w:val="hr"/>
        </w:rPr>
        <w:t xml:space="preserve"> ulaganja u infrastrukturu i opremu, uključujući opremu povezanu s mobilnošću, posebno s ciljem smanjenja energetskog siromaštva;</w:t>
      </w:r>
    </w:p>
    <w:bookmarkEnd w:id="6"/>
    <w:p w14:paraId="4A7EA415" w14:textId="77777777" w:rsidR="00CB4EBF" w:rsidRPr="00FC3D97" w:rsidRDefault="00CB4EBF" w:rsidP="00CB4EBF">
      <w:pPr>
        <w:pStyle w:val="ListParagraph"/>
        <w:numPr>
          <w:ilvl w:val="0"/>
          <w:numId w:val="10"/>
        </w:numPr>
        <w:spacing w:after="0"/>
        <w:jc w:val="both"/>
        <w:rPr>
          <w:rFonts w:cs="Times New Roman"/>
          <w:sz w:val="20"/>
          <w:szCs w:val="20"/>
        </w:rPr>
      </w:pPr>
      <w:r>
        <w:rPr>
          <w:rFonts w:cs="Times New Roman"/>
          <w:sz w:val="20"/>
          <w:szCs w:val="20"/>
          <w:lang w:val="hr"/>
        </w:rPr>
        <w:t>izrada dokumentacije (studija i tehničke dokumentacije) za korištenje različitih izvora energije u pojedinim područjima (turizam, industrija, poljoprivreda, zgrade itd.);</w:t>
      </w:r>
    </w:p>
    <w:p w14:paraId="7769A287" w14:textId="77777777" w:rsidR="00CB4EBF" w:rsidRPr="0018543A" w:rsidRDefault="00CB4EBF" w:rsidP="00CB4EBF">
      <w:pPr>
        <w:pStyle w:val="ListParagraph"/>
        <w:numPr>
          <w:ilvl w:val="0"/>
          <w:numId w:val="10"/>
        </w:numPr>
        <w:spacing w:after="0"/>
        <w:jc w:val="both"/>
        <w:rPr>
          <w:rFonts w:cs="Times New Roman"/>
          <w:sz w:val="20"/>
          <w:szCs w:val="20"/>
        </w:rPr>
      </w:pPr>
      <w:r>
        <w:rPr>
          <w:rFonts w:cs="Times New Roman"/>
          <w:sz w:val="20"/>
          <w:szCs w:val="20"/>
          <w:lang w:val="hr"/>
        </w:rPr>
        <w:t xml:space="preserve">prijenos znanja i infrastrukturnih aktivnosti u području obnovljivih izvora energije, npr. održivo korištenje geotermalne energije naknadnom ugradnjom u četvrtima za korištenje geotermalne energije za grijanje u urbanim područjima; </w:t>
      </w:r>
    </w:p>
    <w:p w14:paraId="2A8CFA46" w14:textId="77777777" w:rsidR="00CB4EBF" w:rsidRPr="0018543A" w:rsidRDefault="00CB4EBF" w:rsidP="00CB4EBF">
      <w:pPr>
        <w:pStyle w:val="ListParagraph"/>
        <w:numPr>
          <w:ilvl w:val="0"/>
          <w:numId w:val="10"/>
        </w:numPr>
        <w:spacing w:after="0"/>
        <w:jc w:val="both"/>
        <w:rPr>
          <w:rFonts w:cs="Times New Roman"/>
          <w:sz w:val="20"/>
          <w:szCs w:val="20"/>
        </w:rPr>
      </w:pPr>
      <w:r>
        <w:rPr>
          <w:rFonts w:cs="Times New Roman"/>
          <w:sz w:val="20"/>
          <w:szCs w:val="20"/>
          <w:lang w:val="hr"/>
        </w:rPr>
        <w:t>studije i manji projekti za promicanje korištenja sunčeve energije u programskom području;</w:t>
      </w:r>
    </w:p>
    <w:p w14:paraId="7D6A1230" w14:textId="77777777" w:rsidR="00CB4EBF" w:rsidRPr="001C431F" w:rsidRDefault="00CB4EBF" w:rsidP="00CB4EBF">
      <w:pPr>
        <w:pStyle w:val="ListParagraph"/>
        <w:numPr>
          <w:ilvl w:val="0"/>
          <w:numId w:val="10"/>
        </w:numPr>
        <w:spacing w:after="0"/>
        <w:jc w:val="both"/>
        <w:rPr>
          <w:rFonts w:cs="Times New Roman"/>
          <w:sz w:val="20"/>
          <w:szCs w:val="20"/>
        </w:rPr>
      </w:pPr>
      <w:r>
        <w:rPr>
          <w:rFonts w:cs="Times New Roman"/>
          <w:sz w:val="20"/>
          <w:szCs w:val="20"/>
          <w:lang w:val="hr"/>
        </w:rPr>
        <w:t xml:space="preserve">događanja za podizanje svijesti (konferencije, radionice, informativni dani itd.) radi širenja informacija i podizanja interesa javnosti te javnih i privatnih institucija programskog područja o važnosti različitih aspekata </w:t>
      </w:r>
      <w:proofErr w:type="spellStart"/>
      <w:r>
        <w:rPr>
          <w:rFonts w:cs="Times New Roman"/>
          <w:sz w:val="20"/>
          <w:szCs w:val="20"/>
          <w:lang w:val="hr"/>
        </w:rPr>
        <w:t>niskougljičnih</w:t>
      </w:r>
      <w:proofErr w:type="spellEnd"/>
      <w:r>
        <w:rPr>
          <w:rFonts w:cs="Times New Roman"/>
          <w:sz w:val="20"/>
          <w:szCs w:val="20"/>
          <w:lang w:val="hr"/>
        </w:rPr>
        <w:t xml:space="preserve"> inicijativa;</w:t>
      </w:r>
    </w:p>
    <w:p w14:paraId="6948B592" w14:textId="77777777" w:rsidR="00CB4EBF" w:rsidRPr="001C431F" w:rsidRDefault="00CB4EBF" w:rsidP="00CB4EBF">
      <w:pPr>
        <w:pStyle w:val="ListParagraph"/>
        <w:numPr>
          <w:ilvl w:val="0"/>
          <w:numId w:val="10"/>
        </w:numPr>
        <w:spacing w:after="0"/>
        <w:jc w:val="both"/>
        <w:rPr>
          <w:rFonts w:cs="Times New Roman"/>
          <w:sz w:val="20"/>
          <w:szCs w:val="20"/>
        </w:rPr>
      </w:pPr>
      <w:r>
        <w:rPr>
          <w:rFonts w:cs="Times New Roman"/>
          <w:sz w:val="20"/>
          <w:szCs w:val="20"/>
          <w:lang w:val="hr"/>
        </w:rPr>
        <w:t>aktivnosti prekogranične razmjene znanja i iskustava za optimalne načine postizanja energetske učinkovitosti fonda zgrada (javnih zgrada, poduzeća, kućanstava) i za održivo korištenje obnovljivih izvora energije;</w:t>
      </w:r>
    </w:p>
    <w:p w14:paraId="256A7EE1" w14:textId="77777777" w:rsidR="00CB4EBF" w:rsidRPr="001C431F" w:rsidRDefault="00CB4EBF" w:rsidP="00CB4EBF">
      <w:pPr>
        <w:pStyle w:val="ListParagraph"/>
        <w:numPr>
          <w:ilvl w:val="0"/>
          <w:numId w:val="10"/>
        </w:numPr>
        <w:spacing w:after="0"/>
        <w:jc w:val="both"/>
        <w:rPr>
          <w:rFonts w:cs="Times New Roman"/>
          <w:sz w:val="20"/>
          <w:szCs w:val="20"/>
        </w:rPr>
      </w:pPr>
      <w:r>
        <w:rPr>
          <w:rFonts w:cs="Times New Roman"/>
          <w:sz w:val="20"/>
          <w:szCs w:val="20"/>
          <w:lang w:val="hr"/>
        </w:rPr>
        <w:t xml:space="preserve">organizacija studijskih putovanja radi proučavanja inovativnih </w:t>
      </w:r>
      <w:proofErr w:type="spellStart"/>
      <w:r>
        <w:rPr>
          <w:rFonts w:cs="Times New Roman"/>
          <w:sz w:val="20"/>
          <w:szCs w:val="20"/>
          <w:lang w:val="hr"/>
        </w:rPr>
        <w:t>niskougljičnih</w:t>
      </w:r>
      <w:proofErr w:type="spellEnd"/>
      <w:r>
        <w:rPr>
          <w:rFonts w:cs="Times New Roman"/>
          <w:sz w:val="20"/>
          <w:szCs w:val="20"/>
          <w:lang w:val="hr"/>
        </w:rPr>
        <w:t xml:space="preserve"> tehnologija i inicijativa zajednice kao dobre prakse;</w:t>
      </w:r>
    </w:p>
    <w:p w14:paraId="0192333E" w14:textId="77777777" w:rsidR="00CB4EBF" w:rsidRPr="001C431F" w:rsidRDefault="00CB4EBF" w:rsidP="00CB4EBF">
      <w:pPr>
        <w:pStyle w:val="ListParagraph"/>
        <w:numPr>
          <w:ilvl w:val="0"/>
          <w:numId w:val="10"/>
        </w:numPr>
        <w:spacing w:after="0"/>
        <w:jc w:val="both"/>
        <w:rPr>
          <w:rFonts w:cs="Times New Roman"/>
          <w:sz w:val="20"/>
          <w:szCs w:val="20"/>
        </w:rPr>
      </w:pPr>
      <w:r>
        <w:rPr>
          <w:rFonts w:cs="Times New Roman"/>
          <w:sz w:val="20"/>
          <w:szCs w:val="20"/>
          <w:lang w:val="hr"/>
        </w:rPr>
        <w:t>izrada zajedničkih obrazovnih programa i materijala, organizacija osposobljavanja prilagođenih različitim ciljnim skupinama s naglaskom na različita područja smanjenja emisije stakleničkih plinova;</w:t>
      </w:r>
    </w:p>
    <w:p w14:paraId="60C47929" w14:textId="77777777" w:rsidR="00CB4EBF" w:rsidRPr="001C431F" w:rsidRDefault="00CB4EBF" w:rsidP="00CB4EBF">
      <w:pPr>
        <w:pStyle w:val="ListParagraph"/>
        <w:numPr>
          <w:ilvl w:val="0"/>
          <w:numId w:val="10"/>
        </w:numPr>
        <w:spacing w:after="0"/>
        <w:jc w:val="both"/>
        <w:rPr>
          <w:rFonts w:cs="Times New Roman"/>
          <w:sz w:val="20"/>
          <w:szCs w:val="20"/>
        </w:rPr>
      </w:pPr>
      <w:r>
        <w:rPr>
          <w:rFonts w:cs="Times New Roman"/>
          <w:sz w:val="20"/>
          <w:szCs w:val="20"/>
          <w:lang w:val="hr"/>
        </w:rPr>
        <w:t xml:space="preserve">izrada promotivnih materijala i provedba marketinških djelovanja za podizanje svijesti javnosti o </w:t>
      </w:r>
      <w:proofErr w:type="spellStart"/>
      <w:r>
        <w:rPr>
          <w:rFonts w:cs="Times New Roman"/>
          <w:sz w:val="20"/>
          <w:szCs w:val="20"/>
          <w:lang w:val="hr"/>
        </w:rPr>
        <w:t>niskougljičnim</w:t>
      </w:r>
      <w:proofErr w:type="spellEnd"/>
      <w:r>
        <w:rPr>
          <w:rFonts w:cs="Times New Roman"/>
          <w:sz w:val="20"/>
          <w:szCs w:val="20"/>
          <w:lang w:val="hr"/>
        </w:rPr>
        <w:t xml:space="preserve"> projektnim akcijama i rezultatima;</w:t>
      </w:r>
    </w:p>
    <w:p w14:paraId="6C68F71B" w14:textId="77777777" w:rsidR="00CB4EBF" w:rsidRDefault="00CB4EBF" w:rsidP="00CB4EBF">
      <w:pPr>
        <w:pStyle w:val="ListParagraph"/>
        <w:numPr>
          <w:ilvl w:val="0"/>
          <w:numId w:val="10"/>
        </w:numPr>
        <w:spacing w:after="0"/>
        <w:jc w:val="both"/>
        <w:rPr>
          <w:rFonts w:cs="Times New Roman"/>
          <w:sz w:val="20"/>
          <w:szCs w:val="20"/>
        </w:rPr>
      </w:pPr>
      <w:r>
        <w:rPr>
          <w:rFonts w:cs="Times New Roman"/>
          <w:sz w:val="20"/>
          <w:szCs w:val="20"/>
          <w:lang w:val="hr"/>
        </w:rPr>
        <w:t xml:space="preserve">priprema i provedba manjih </w:t>
      </w:r>
      <w:proofErr w:type="spellStart"/>
      <w:r>
        <w:rPr>
          <w:rFonts w:cs="Times New Roman"/>
          <w:sz w:val="20"/>
          <w:szCs w:val="20"/>
          <w:lang w:val="hr"/>
        </w:rPr>
        <w:t>niskougljičnih</w:t>
      </w:r>
      <w:proofErr w:type="spellEnd"/>
      <w:r>
        <w:rPr>
          <w:rFonts w:cs="Times New Roman"/>
          <w:sz w:val="20"/>
          <w:szCs w:val="20"/>
          <w:lang w:val="hr"/>
        </w:rPr>
        <w:t xml:space="preserve"> pilot-ulaganja koja su relevantna za najbolju praksu i demonstraciju.</w:t>
      </w:r>
    </w:p>
    <w:p w14:paraId="11DCAA9E" w14:textId="77777777" w:rsidR="00CB4EBF" w:rsidRDefault="00CB4EBF" w:rsidP="00CB4EBF">
      <w:pPr>
        <w:spacing w:after="0"/>
        <w:jc w:val="both"/>
        <w:rPr>
          <w:rFonts w:cs="Times New Roman"/>
          <w:sz w:val="20"/>
          <w:szCs w:val="20"/>
        </w:rPr>
      </w:pPr>
    </w:p>
    <w:p w14:paraId="598A20C6" w14:textId="77777777" w:rsidR="00CB4EBF" w:rsidRDefault="00CB4EBF" w:rsidP="00CB4EBF">
      <w:pPr>
        <w:spacing w:after="0"/>
        <w:jc w:val="both"/>
        <w:rPr>
          <w:rFonts w:cs="Times New Roman"/>
          <w:sz w:val="20"/>
          <w:szCs w:val="20"/>
        </w:rPr>
      </w:pPr>
      <w:r>
        <w:rPr>
          <w:rFonts w:cs="Times New Roman"/>
          <w:sz w:val="20"/>
          <w:szCs w:val="20"/>
          <w:lang w:val="hr"/>
        </w:rPr>
        <w:t>Najvažnija načela za kriterije odabira, među ostalim, jesu:</w:t>
      </w:r>
    </w:p>
    <w:p w14:paraId="231840AC" w14:textId="77777777" w:rsidR="00CB4EBF" w:rsidRDefault="00CB4EBF" w:rsidP="00CB4EBF">
      <w:pPr>
        <w:pStyle w:val="ListParagraph"/>
        <w:numPr>
          <w:ilvl w:val="0"/>
          <w:numId w:val="10"/>
        </w:numPr>
        <w:spacing w:after="0"/>
        <w:jc w:val="both"/>
        <w:rPr>
          <w:rFonts w:cs="Times New Roman"/>
          <w:sz w:val="20"/>
          <w:szCs w:val="20"/>
        </w:rPr>
      </w:pPr>
      <w:r>
        <w:rPr>
          <w:rFonts w:cs="Times New Roman"/>
          <w:sz w:val="20"/>
          <w:szCs w:val="20"/>
          <w:lang w:val="hr"/>
        </w:rPr>
        <w:t>složenost intervencija povezanih s energetskom učinkovitosti i obnovljivom energijom;</w:t>
      </w:r>
    </w:p>
    <w:p w14:paraId="7475B9CF" w14:textId="77777777" w:rsidR="00CB4EBF" w:rsidRDefault="00CB4EBF" w:rsidP="00CB4EBF">
      <w:pPr>
        <w:pStyle w:val="ListParagraph"/>
        <w:numPr>
          <w:ilvl w:val="0"/>
          <w:numId w:val="10"/>
        </w:numPr>
        <w:spacing w:after="0"/>
        <w:jc w:val="both"/>
        <w:rPr>
          <w:rFonts w:cs="Times New Roman"/>
          <w:sz w:val="20"/>
          <w:szCs w:val="20"/>
        </w:rPr>
      </w:pPr>
      <w:r>
        <w:rPr>
          <w:rFonts w:cs="Times New Roman"/>
          <w:sz w:val="20"/>
          <w:szCs w:val="20"/>
          <w:lang w:val="hr"/>
        </w:rPr>
        <w:t>održivost upotrebe obnovljivih izvora energije;</w:t>
      </w:r>
    </w:p>
    <w:p w14:paraId="6366244C" w14:textId="77777777" w:rsidR="00CB4EBF" w:rsidRDefault="00CB4EBF" w:rsidP="00CB4EBF">
      <w:pPr>
        <w:pStyle w:val="ListParagraph"/>
        <w:numPr>
          <w:ilvl w:val="0"/>
          <w:numId w:val="10"/>
        </w:numPr>
        <w:spacing w:after="0"/>
        <w:jc w:val="both"/>
        <w:rPr>
          <w:rFonts w:cs="Times New Roman"/>
          <w:sz w:val="20"/>
          <w:szCs w:val="20"/>
        </w:rPr>
      </w:pPr>
      <w:r>
        <w:rPr>
          <w:rFonts w:cs="Times New Roman"/>
          <w:sz w:val="20"/>
          <w:szCs w:val="20"/>
          <w:lang w:val="hr"/>
        </w:rPr>
        <w:t>naglasak na područja koja su zaostala i pate od energetskog siromaštva;</w:t>
      </w:r>
    </w:p>
    <w:p w14:paraId="608B593D" w14:textId="77777777" w:rsidR="00CB4EBF" w:rsidRDefault="00CB4EBF" w:rsidP="00CB4EBF">
      <w:pPr>
        <w:pStyle w:val="ListParagraph"/>
        <w:numPr>
          <w:ilvl w:val="0"/>
          <w:numId w:val="10"/>
        </w:numPr>
        <w:spacing w:after="0"/>
        <w:jc w:val="both"/>
        <w:rPr>
          <w:rFonts w:cs="Times New Roman"/>
          <w:sz w:val="20"/>
          <w:szCs w:val="20"/>
        </w:rPr>
      </w:pPr>
      <w:r>
        <w:rPr>
          <w:rFonts w:cs="Times New Roman"/>
          <w:sz w:val="20"/>
          <w:szCs w:val="20"/>
          <w:lang w:val="hr"/>
        </w:rPr>
        <w:t>opseg javno-privatnog partnerstva u provedbi projekta;</w:t>
      </w:r>
    </w:p>
    <w:p w14:paraId="5CEB6CFF" w14:textId="77777777" w:rsidR="00CB4EBF" w:rsidRDefault="00CB4EBF" w:rsidP="00CB4EBF">
      <w:pPr>
        <w:pStyle w:val="ListParagraph"/>
        <w:numPr>
          <w:ilvl w:val="0"/>
          <w:numId w:val="10"/>
        </w:numPr>
        <w:spacing w:after="0"/>
        <w:jc w:val="both"/>
        <w:rPr>
          <w:rFonts w:cs="Times New Roman"/>
          <w:sz w:val="20"/>
          <w:szCs w:val="20"/>
        </w:rPr>
      </w:pPr>
      <w:r>
        <w:rPr>
          <w:rFonts w:cs="Times New Roman"/>
          <w:sz w:val="20"/>
          <w:szCs w:val="20"/>
          <w:lang w:val="hr"/>
        </w:rPr>
        <w:t>isplativost intervencija;</w:t>
      </w:r>
    </w:p>
    <w:p w14:paraId="4EC16BCC" w14:textId="77777777" w:rsidR="00CB4EBF" w:rsidRDefault="00CB4EBF" w:rsidP="00CB4EBF">
      <w:pPr>
        <w:pStyle w:val="ListParagraph"/>
        <w:numPr>
          <w:ilvl w:val="0"/>
          <w:numId w:val="10"/>
        </w:numPr>
        <w:spacing w:after="0"/>
        <w:jc w:val="both"/>
        <w:rPr>
          <w:rFonts w:cs="Times New Roman"/>
          <w:sz w:val="20"/>
          <w:szCs w:val="20"/>
        </w:rPr>
      </w:pPr>
      <w:r>
        <w:rPr>
          <w:rFonts w:cs="Times New Roman"/>
          <w:sz w:val="20"/>
          <w:szCs w:val="20"/>
          <w:lang w:val="hr"/>
        </w:rPr>
        <w:t>djelotvornost podizanja svijesti i intervencija u ponašanju.</w:t>
      </w:r>
    </w:p>
    <w:p w14:paraId="6D513FEE" w14:textId="77777777" w:rsidR="00CB4EBF" w:rsidRPr="001C431F" w:rsidRDefault="00CB4EBF" w:rsidP="00CB4EBF">
      <w:pPr>
        <w:spacing w:after="0"/>
        <w:jc w:val="both"/>
        <w:rPr>
          <w:rFonts w:cs="Times New Roman"/>
          <w:sz w:val="20"/>
          <w:szCs w:val="20"/>
        </w:rPr>
      </w:pPr>
    </w:p>
    <w:p w14:paraId="610E90F5"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r>
        <w:rPr>
          <w:rFonts w:eastAsia="Times New Roman" w:cs="Times New Roman"/>
          <w:b/>
          <w:bCs/>
          <w:noProof/>
          <w:sz w:val="20"/>
          <w:szCs w:val="20"/>
          <w:lang w:val="hr"/>
        </w:rPr>
        <w:t>Pokazatelji</w:t>
      </w:r>
    </w:p>
    <w:p w14:paraId="06DBFED1"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i/>
          <w:iCs/>
          <w:noProof/>
          <w:color w:val="000000"/>
          <w:sz w:val="20"/>
          <w:szCs w:val="20"/>
          <w:lang w:val="hr"/>
        </w:rPr>
        <w:t>Upućivanje: članak 17. stavak 3. točka (e) podtočka ii., članak 17. stavak 9. točka (c) podtočka iii.</w:t>
      </w:r>
    </w:p>
    <w:p w14:paraId="40CB5C69" w14:textId="77777777" w:rsidR="00CB4EBF" w:rsidRPr="001C431F" w:rsidRDefault="00CB4EBF" w:rsidP="00CB4EBF">
      <w:pPr>
        <w:spacing w:after="0" w:line="240" w:lineRule="auto"/>
        <w:rPr>
          <w:rFonts w:eastAsia="Times New Roman" w:cs="Times New Roman"/>
          <w:iCs/>
          <w:noProof/>
          <w:sz w:val="20"/>
          <w:szCs w:val="20"/>
        </w:rPr>
      </w:pPr>
      <w:r>
        <w:rPr>
          <w:rFonts w:eastAsia="Times New Roman" w:cs="Times New Roman"/>
          <w:noProof/>
          <w:sz w:val="20"/>
          <w:szCs w:val="20"/>
          <w:lang w:val="hr"/>
        </w:rPr>
        <w:t>Tablica 2.: Pokazatelji ostvarenja</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1050"/>
        <w:gridCol w:w="883"/>
        <w:gridCol w:w="2422"/>
        <w:gridCol w:w="1334"/>
        <w:gridCol w:w="1224"/>
        <w:gridCol w:w="1470"/>
      </w:tblGrid>
      <w:tr w:rsidR="00CB4EBF" w:rsidRPr="00A23750" w14:paraId="6BDB51E1" w14:textId="77777777" w:rsidTr="0054762C">
        <w:trPr>
          <w:trHeight w:val="836"/>
        </w:trPr>
        <w:tc>
          <w:tcPr>
            <w:tcW w:w="479" w:type="pct"/>
          </w:tcPr>
          <w:p w14:paraId="54A502BB"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 xml:space="preserve">Prioritet </w:t>
            </w:r>
          </w:p>
        </w:tc>
        <w:tc>
          <w:tcPr>
            <w:tcW w:w="527" w:type="pct"/>
          </w:tcPr>
          <w:p w14:paraId="5966B0ED"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Specifični cilj</w:t>
            </w:r>
          </w:p>
        </w:tc>
        <w:tc>
          <w:tcPr>
            <w:tcW w:w="410" w:type="pct"/>
          </w:tcPr>
          <w:p w14:paraId="539E4AA4"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Oznaka</w:t>
            </w:r>
          </w:p>
          <w:p w14:paraId="7AA2478C"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[5]</w:t>
            </w:r>
          </w:p>
        </w:tc>
        <w:tc>
          <w:tcPr>
            <w:tcW w:w="1330" w:type="pct"/>
            <w:shd w:val="clear" w:color="auto" w:fill="auto"/>
          </w:tcPr>
          <w:p w14:paraId="3E9FBB1F"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 xml:space="preserve">Pokazatelj </w:t>
            </w:r>
          </w:p>
        </w:tc>
        <w:tc>
          <w:tcPr>
            <w:tcW w:w="747" w:type="pct"/>
          </w:tcPr>
          <w:p w14:paraId="10DA7872"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Mjerna jedinica</w:t>
            </w:r>
          </w:p>
          <w:p w14:paraId="284B5B46"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[255]</w:t>
            </w:r>
          </w:p>
        </w:tc>
        <w:tc>
          <w:tcPr>
            <w:tcW w:w="688" w:type="pct"/>
            <w:shd w:val="clear" w:color="auto" w:fill="auto"/>
          </w:tcPr>
          <w:p w14:paraId="6DF94632"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Ključna etapa (2024.)</w:t>
            </w:r>
          </w:p>
          <w:p w14:paraId="0F06EE18"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[200]</w:t>
            </w:r>
          </w:p>
        </w:tc>
        <w:tc>
          <w:tcPr>
            <w:tcW w:w="819" w:type="pct"/>
            <w:shd w:val="clear" w:color="auto" w:fill="auto"/>
          </w:tcPr>
          <w:p w14:paraId="17E8C100"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Konačna ciljna vrijednost (2029.)</w:t>
            </w:r>
          </w:p>
          <w:p w14:paraId="5740CBE7"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[200]</w:t>
            </w:r>
          </w:p>
        </w:tc>
      </w:tr>
      <w:tr w:rsidR="00CB4EBF" w:rsidRPr="00A23750" w14:paraId="412C85FC" w14:textId="77777777" w:rsidTr="0054762C">
        <w:trPr>
          <w:trHeight w:val="579"/>
        </w:trPr>
        <w:tc>
          <w:tcPr>
            <w:tcW w:w="479" w:type="pct"/>
          </w:tcPr>
          <w:p w14:paraId="57E11355" w14:textId="77777777" w:rsidR="00CB4EBF" w:rsidRPr="001C431F" w:rsidRDefault="00CB4EBF" w:rsidP="0054762C">
            <w:pPr>
              <w:spacing w:after="0" w:line="240" w:lineRule="auto"/>
              <w:jc w:val="center"/>
              <w:rPr>
                <w:rFonts w:cs="Times New Roman"/>
                <w:bCs/>
                <w:iCs/>
                <w:noProof/>
                <w:sz w:val="20"/>
                <w:szCs w:val="20"/>
              </w:rPr>
            </w:pPr>
            <w:r>
              <w:rPr>
                <w:rFonts w:cs="Times New Roman"/>
                <w:noProof/>
                <w:sz w:val="20"/>
                <w:szCs w:val="20"/>
                <w:lang w:val="hr"/>
              </w:rPr>
              <w:t>2</w:t>
            </w:r>
          </w:p>
        </w:tc>
        <w:tc>
          <w:tcPr>
            <w:tcW w:w="527" w:type="pct"/>
          </w:tcPr>
          <w:p w14:paraId="70AF819D" w14:textId="77777777" w:rsidR="00CB4EBF" w:rsidRPr="001C431F" w:rsidRDefault="00CB4EBF" w:rsidP="0054762C">
            <w:pPr>
              <w:spacing w:after="0" w:line="240" w:lineRule="auto"/>
              <w:jc w:val="both"/>
              <w:rPr>
                <w:rFonts w:cs="Times New Roman"/>
                <w:bCs/>
                <w:iCs/>
                <w:noProof/>
                <w:sz w:val="20"/>
                <w:szCs w:val="20"/>
              </w:rPr>
            </w:pPr>
            <w:r>
              <w:rPr>
                <w:rFonts w:eastAsia="Times New Roman" w:cs="Times New Roman"/>
                <w:noProof/>
                <w:sz w:val="20"/>
                <w:szCs w:val="20"/>
                <w:lang w:val="hr"/>
              </w:rPr>
              <w:t>SO 2.1</w:t>
            </w:r>
          </w:p>
        </w:tc>
        <w:tc>
          <w:tcPr>
            <w:tcW w:w="410" w:type="pct"/>
          </w:tcPr>
          <w:p w14:paraId="180C46CB" w14:textId="77777777" w:rsidR="00CB4EBF" w:rsidRPr="001C431F" w:rsidRDefault="00CB4EBF" w:rsidP="0054762C">
            <w:pPr>
              <w:spacing w:after="0" w:line="240" w:lineRule="auto"/>
              <w:jc w:val="both"/>
              <w:rPr>
                <w:rFonts w:cs="Times New Roman"/>
                <w:bCs/>
                <w:iCs/>
                <w:noProof/>
                <w:sz w:val="20"/>
                <w:szCs w:val="20"/>
              </w:rPr>
            </w:pPr>
            <w:r>
              <w:rPr>
                <w:rFonts w:cs="Times New Roman"/>
                <w:noProof/>
                <w:sz w:val="20"/>
                <w:szCs w:val="20"/>
                <w:lang w:val="hr"/>
              </w:rPr>
              <w:t>RCO 116</w:t>
            </w:r>
          </w:p>
        </w:tc>
        <w:tc>
          <w:tcPr>
            <w:tcW w:w="1330" w:type="pct"/>
            <w:shd w:val="clear" w:color="auto" w:fill="auto"/>
          </w:tcPr>
          <w:p w14:paraId="2A049CCF" w14:textId="77777777" w:rsidR="00CB4EBF" w:rsidRPr="001C431F" w:rsidRDefault="00CB4EBF" w:rsidP="0054762C">
            <w:pPr>
              <w:spacing w:after="0" w:line="240" w:lineRule="auto"/>
              <w:rPr>
                <w:rFonts w:cs="Times New Roman"/>
                <w:bCs/>
                <w:iCs/>
                <w:noProof/>
                <w:sz w:val="20"/>
                <w:szCs w:val="20"/>
              </w:rPr>
            </w:pPr>
            <w:r>
              <w:rPr>
                <w:rFonts w:cs="Times New Roman"/>
                <w:noProof/>
                <w:sz w:val="20"/>
                <w:szCs w:val="20"/>
                <w:lang w:val="hr"/>
              </w:rPr>
              <w:t>Zajednički izrađena rješenja</w:t>
            </w:r>
          </w:p>
        </w:tc>
        <w:tc>
          <w:tcPr>
            <w:tcW w:w="747" w:type="pct"/>
          </w:tcPr>
          <w:p w14:paraId="0E007A7C" w14:textId="77777777" w:rsidR="00CB4EBF" w:rsidRPr="001C431F" w:rsidRDefault="00CB4EBF" w:rsidP="0054762C">
            <w:pPr>
              <w:spacing w:after="0" w:line="240" w:lineRule="auto"/>
              <w:jc w:val="both"/>
              <w:rPr>
                <w:rFonts w:cs="Times New Roman"/>
                <w:bCs/>
                <w:iCs/>
                <w:noProof/>
                <w:sz w:val="20"/>
                <w:szCs w:val="20"/>
              </w:rPr>
            </w:pPr>
            <w:r>
              <w:rPr>
                <w:rFonts w:cs="Times New Roman"/>
                <w:noProof/>
                <w:sz w:val="20"/>
                <w:szCs w:val="20"/>
                <w:lang w:val="hr"/>
              </w:rPr>
              <w:t>rješenja</w:t>
            </w:r>
          </w:p>
        </w:tc>
        <w:tc>
          <w:tcPr>
            <w:tcW w:w="688" w:type="pct"/>
            <w:shd w:val="clear" w:color="auto" w:fill="auto"/>
          </w:tcPr>
          <w:p w14:paraId="43678CE3" w14:textId="77777777" w:rsidR="00CB4EBF" w:rsidRPr="001C431F" w:rsidRDefault="00CB4EBF" w:rsidP="0054762C">
            <w:pPr>
              <w:spacing w:after="0" w:line="240" w:lineRule="auto"/>
              <w:jc w:val="center"/>
              <w:rPr>
                <w:rFonts w:cs="Times New Roman"/>
                <w:bCs/>
                <w:iCs/>
                <w:noProof/>
                <w:sz w:val="20"/>
                <w:szCs w:val="20"/>
              </w:rPr>
            </w:pPr>
            <w:r>
              <w:rPr>
                <w:rFonts w:cs="Times New Roman"/>
                <w:noProof/>
                <w:sz w:val="20"/>
                <w:szCs w:val="20"/>
                <w:lang w:val="hr"/>
              </w:rPr>
              <w:t>0</w:t>
            </w:r>
          </w:p>
        </w:tc>
        <w:tc>
          <w:tcPr>
            <w:tcW w:w="819" w:type="pct"/>
            <w:shd w:val="clear" w:color="auto" w:fill="auto"/>
          </w:tcPr>
          <w:p w14:paraId="7694AFE3" w14:textId="77777777" w:rsidR="00CB4EBF" w:rsidRPr="001C431F" w:rsidRDefault="00CB4EBF" w:rsidP="0054762C">
            <w:pPr>
              <w:spacing w:after="0" w:line="240" w:lineRule="auto"/>
              <w:jc w:val="center"/>
              <w:rPr>
                <w:rFonts w:cs="Times New Roman"/>
                <w:bCs/>
                <w:iCs/>
                <w:noProof/>
                <w:sz w:val="20"/>
                <w:szCs w:val="20"/>
              </w:rPr>
            </w:pPr>
            <w:r>
              <w:rPr>
                <w:rFonts w:cs="Times New Roman"/>
                <w:noProof/>
                <w:sz w:val="20"/>
                <w:szCs w:val="20"/>
                <w:lang w:val="hr"/>
              </w:rPr>
              <w:t>21</w:t>
            </w:r>
          </w:p>
        </w:tc>
      </w:tr>
      <w:tr w:rsidR="00CB4EBF" w:rsidRPr="00A23750" w14:paraId="51A50FD1" w14:textId="77777777" w:rsidTr="0054762C">
        <w:trPr>
          <w:trHeight w:val="579"/>
        </w:trPr>
        <w:tc>
          <w:tcPr>
            <w:tcW w:w="479" w:type="pct"/>
          </w:tcPr>
          <w:p w14:paraId="641CEB63" w14:textId="77777777" w:rsidR="00CB4EBF" w:rsidRPr="001C431F" w:rsidRDefault="00CB4EBF" w:rsidP="0054762C">
            <w:pPr>
              <w:spacing w:after="0" w:line="240" w:lineRule="auto"/>
              <w:jc w:val="center"/>
              <w:rPr>
                <w:rFonts w:cs="Times New Roman"/>
                <w:bCs/>
                <w:iCs/>
                <w:noProof/>
                <w:sz w:val="20"/>
                <w:szCs w:val="20"/>
              </w:rPr>
            </w:pPr>
            <w:r>
              <w:rPr>
                <w:rFonts w:cs="Times New Roman"/>
                <w:noProof/>
                <w:sz w:val="20"/>
                <w:szCs w:val="20"/>
                <w:lang w:val="hr"/>
              </w:rPr>
              <w:t>2</w:t>
            </w:r>
          </w:p>
        </w:tc>
        <w:tc>
          <w:tcPr>
            <w:tcW w:w="527" w:type="pct"/>
          </w:tcPr>
          <w:p w14:paraId="447F22CF" w14:textId="77777777" w:rsidR="00CB4EBF" w:rsidRPr="001C431F" w:rsidRDefault="00CB4EBF" w:rsidP="0054762C">
            <w:pPr>
              <w:spacing w:after="0" w:line="240" w:lineRule="auto"/>
              <w:jc w:val="both"/>
              <w:rPr>
                <w:rFonts w:cs="Times New Roman"/>
                <w:bCs/>
                <w:iCs/>
                <w:noProof/>
                <w:sz w:val="20"/>
                <w:szCs w:val="20"/>
              </w:rPr>
            </w:pPr>
            <w:r>
              <w:rPr>
                <w:rFonts w:eastAsia="Times New Roman" w:cs="Times New Roman"/>
                <w:noProof/>
                <w:sz w:val="20"/>
                <w:szCs w:val="20"/>
                <w:lang w:val="hr"/>
              </w:rPr>
              <w:t>SO 2.1</w:t>
            </w:r>
          </w:p>
        </w:tc>
        <w:tc>
          <w:tcPr>
            <w:tcW w:w="410" w:type="pct"/>
          </w:tcPr>
          <w:p w14:paraId="5C6743FA" w14:textId="77777777" w:rsidR="00CB4EBF" w:rsidRPr="001C431F" w:rsidRDefault="00CB4EBF" w:rsidP="0054762C">
            <w:pPr>
              <w:spacing w:after="0" w:line="240" w:lineRule="auto"/>
              <w:jc w:val="both"/>
              <w:rPr>
                <w:rFonts w:cs="Times New Roman"/>
                <w:bCs/>
                <w:iCs/>
                <w:noProof/>
                <w:sz w:val="20"/>
                <w:szCs w:val="20"/>
              </w:rPr>
            </w:pPr>
            <w:r>
              <w:rPr>
                <w:rFonts w:cs="Times New Roman"/>
                <w:noProof/>
                <w:sz w:val="20"/>
                <w:szCs w:val="20"/>
                <w:lang w:val="hr"/>
              </w:rPr>
              <w:t>RCO 87</w:t>
            </w:r>
          </w:p>
        </w:tc>
        <w:tc>
          <w:tcPr>
            <w:tcW w:w="1330" w:type="pct"/>
            <w:shd w:val="clear" w:color="auto" w:fill="auto"/>
          </w:tcPr>
          <w:p w14:paraId="00A7B36D" w14:textId="77777777" w:rsidR="00CB4EBF" w:rsidRPr="001C431F" w:rsidRDefault="00CB4EBF" w:rsidP="0054762C">
            <w:pPr>
              <w:spacing w:after="0" w:line="240" w:lineRule="auto"/>
              <w:rPr>
                <w:rFonts w:cs="Times New Roman"/>
                <w:bCs/>
                <w:iCs/>
                <w:noProof/>
                <w:sz w:val="20"/>
                <w:szCs w:val="20"/>
              </w:rPr>
            </w:pPr>
            <w:r>
              <w:rPr>
                <w:rFonts w:cs="Times New Roman"/>
                <w:noProof/>
                <w:sz w:val="20"/>
                <w:szCs w:val="20"/>
                <w:lang w:val="hr"/>
              </w:rPr>
              <w:t>Organizacije koje surađuju preko granica</w:t>
            </w:r>
          </w:p>
        </w:tc>
        <w:tc>
          <w:tcPr>
            <w:tcW w:w="747" w:type="pct"/>
          </w:tcPr>
          <w:p w14:paraId="3C9B1BC3" w14:textId="77777777" w:rsidR="00CB4EBF" w:rsidRPr="001C431F" w:rsidRDefault="00CB4EBF" w:rsidP="0054762C">
            <w:pPr>
              <w:spacing w:after="0" w:line="240" w:lineRule="auto"/>
              <w:jc w:val="both"/>
              <w:rPr>
                <w:rFonts w:cs="Times New Roman"/>
                <w:bCs/>
                <w:iCs/>
                <w:noProof/>
                <w:sz w:val="20"/>
                <w:szCs w:val="20"/>
              </w:rPr>
            </w:pPr>
            <w:r>
              <w:rPr>
                <w:rFonts w:cs="Times New Roman"/>
                <w:noProof/>
                <w:sz w:val="20"/>
                <w:szCs w:val="20"/>
                <w:lang w:val="hr"/>
              </w:rPr>
              <w:t>organizacije</w:t>
            </w:r>
          </w:p>
        </w:tc>
        <w:tc>
          <w:tcPr>
            <w:tcW w:w="688" w:type="pct"/>
            <w:shd w:val="clear" w:color="auto" w:fill="auto"/>
          </w:tcPr>
          <w:p w14:paraId="2584E667" w14:textId="77777777" w:rsidR="00CB4EBF" w:rsidRPr="001C431F" w:rsidRDefault="00CB4EBF" w:rsidP="0054762C">
            <w:pPr>
              <w:spacing w:after="0" w:line="240" w:lineRule="auto"/>
              <w:jc w:val="center"/>
              <w:rPr>
                <w:rFonts w:cs="Times New Roman"/>
                <w:bCs/>
                <w:iCs/>
                <w:noProof/>
                <w:sz w:val="20"/>
                <w:szCs w:val="20"/>
              </w:rPr>
            </w:pPr>
            <w:r>
              <w:rPr>
                <w:rFonts w:cs="Times New Roman"/>
                <w:noProof/>
                <w:sz w:val="20"/>
                <w:szCs w:val="20"/>
                <w:lang w:val="hr"/>
              </w:rPr>
              <w:t>0</w:t>
            </w:r>
          </w:p>
        </w:tc>
        <w:tc>
          <w:tcPr>
            <w:tcW w:w="819" w:type="pct"/>
            <w:shd w:val="clear" w:color="auto" w:fill="auto"/>
          </w:tcPr>
          <w:p w14:paraId="7687C532" w14:textId="77777777" w:rsidR="00CB4EBF" w:rsidRPr="001C431F" w:rsidRDefault="00CB4EBF" w:rsidP="0054762C">
            <w:pPr>
              <w:spacing w:after="0" w:line="240" w:lineRule="auto"/>
              <w:jc w:val="center"/>
              <w:rPr>
                <w:rFonts w:cs="Times New Roman"/>
                <w:bCs/>
                <w:iCs/>
                <w:noProof/>
                <w:sz w:val="20"/>
                <w:szCs w:val="20"/>
              </w:rPr>
            </w:pPr>
            <w:r>
              <w:rPr>
                <w:rFonts w:cs="Times New Roman"/>
                <w:noProof/>
                <w:sz w:val="20"/>
                <w:szCs w:val="20"/>
                <w:lang w:val="hr"/>
              </w:rPr>
              <w:t>25</w:t>
            </w:r>
          </w:p>
        </w:tc>
      </w:tr>
    </w:tbl>
    <w:p w14:paraId="445C9A1F" w14:textId="77777777" w:rsidR="00CB4EBF" w:rsidRPr="001C431F" w:rsidRDefault="00CB4EBF" w:rsidP="00CB4EBF">
      <w:pPr>
        <w:spacing w:after="0" w:line="240" w:lineRule="auto"/>
        <w:rPr>
          <w:rFonts w:eastAsia="Times New Roman" w:cs="Times New Roman"/>
          <w:iCs/>
          <w:noProof/>
          <w:sz w:val="20"/>
          <w:szCs w:val="20"/>
        </w:rPr>
      </w:pPr>
    </w:p>
    <w:p w14:paraId="2F915EE5" w14:textId="77777777" w:rsidR="00CB4EBF" w:rsidRPr="001C431F" w:rsidRDefault="00CB4EBF" w:rsidP="00CB4EBF">
      <w:pPr>
        <w:spacing w:after="0" w:line="240" w:lineRule="auto"/>
        <w:rPr>
          <w:rFonts w:eastAsia="Times New Roman" w:cs="Times New Roman"/>
          <w:iCs/>
          <w:noProof/>
          <w:sz w:val="20"/>
          <w:szCs w:val="20"/>
        </w:rPr>
      </w:pPr>
      <w:r>
        <w:rPr>
          <w:rFonts w:eastAsia="Times New Roman" w:cs="Times New Roman"/>
          <w:noProof/>
          <w:sz w:val="20"/>
          <w:szCs w:val="20"/>
          <w:lang w:val="hr"/>
        </w:rPr>
        <w:t>Tablica 3.: Pokazatelji rezultata</w:t>
      </w:r>
    </w:p>
    <w:tbl>
      <w:tblPr>
        <w:tblW w:w="56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1050"/>
        <w:gridCol w:w="883"/>
        <w:gridCol w:w="1238"/>
        <w:gridCol w:w="1194"/>
        <w:gridCol w:w="1083"/>
        <w:gridCol w:w="1172"/>
        <w:gridCol w:w="1083"/>
        <w:gridCol w:w="1261"/>
        <w:gridCol w:w="1128"/>
      </w:tblGrid>
      <w:tr w:rsidR="00CB4EBF" w:rsidRPr="00A23750" w14:paraId="1E53357B" w14:textId="77777777" w:rsidTr="0054762C">
        <w:trPr>
          <w:trHeight w:val="947"/>
        </w:trPr>
        <w:tc>
          <w:tcPr>
            <w:tcW w:w="434" w:type="pct"/>
          </w:tcPr>
          <w:p w14:paraId="76F2438A"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 xml:space="preserve">Prioritet </w:t>
            </w:r>
          </w:p>
        </w:tc>
        <w:tc>
          <w:tcPr>
            <w:tcW w:w="477" w:type="pct"/>
          </w:tcPr>
          <w:p w14:paraId="471608DB"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Specifični cilj</w:t>
            </w:r>
          </w:p>
        </w:tc>
        <w:tc>
          <w:tcPr>
            <w:tcW w:w="300" w:type="pct"/>
          </w:tcPr>
          <w:p w14:paraId="335E9FFD"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Oznaka</w:t>
            </w:r>
          </w:p>
        </w:tc>
        <w:tc>
          <w:tcPr>
            <w:tcW w:w="506" w:type="pct"/>
            <w:shd w:val="clear" w:color="auto" w:fill="auto"/>
          </w:tcPr>
          <w:p w14:paraId="502C6C00"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 xml:space="preserve">Pokazatelj </w:t>
            </w:r>
          </w:p>
        </w:tc>
        <w:tc>
          <w:tcPr>
            <w:tcW w:w="686" w:type="pct"/>
          </w:tcPr>
          <w:p w14:paraId="53381397"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Mjerna jedinica</w:t>
            </w:r>
          </w:p>
        </w:tc>
        <w:tc>
          <w:tcPr>
            <w:tcW w:w="451" w:type="pct"/>
          </w:tcPr>
          <w:p w14:paraId="29546EA9"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Osnovna vrijednost</w:t>
            </w:r>
          </w:p>
        </w:tc>
        <w:tc>
          <w:tcPr>
            <w:tcW w:w="520" w:type="pct"/>
          </w:tcPr>
          <w:p w14:paraId="272604F7"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Referentna godina</w:t>
            </w:r>
          </w:p>
        </w:tc>
        <w:tc>
          <w:tcPr>
            <w:tcW w:w="537" w:type="pct"/>
            <w:shd w:val="clear" w:color="auto" w:fill="auto"/>
          </w:tcPr>
          <w:p w14:paraId="78993AB7"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Konačna ciljna vrijednost (2029.)</w:t>
            </w:r>
          </w:p>
        </w:tc>
        <w:tc>
          <w:tcPr>
            <w:tcW w:w="537" w:type="pct"/>
            <w:shd w:val="clear" w:color="auto" w:fill="auto"/>
          </w:tcPr>
          <w:p w14:paraId="296E6728"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Izvor podataka</w:t>
            </w:r>
          </w:p>
        </w:tc>
        <w:tc>
          <w:tcPr>
            <w:tcW w:w="553" w:type="pct"/>
          </w:tcPr>
          <w:p w14:paraId="0B7839EF" w14:textId="77777777" w:rsidR="00CB4EBF" w:rsidRPr="001C431F" w:rsidRDefault="00CB4EBF" w:rsidP="0054762C">
            <w:pPr>
              <w:spacing w:after="0" w:line="480" w:lineRule="auto"/>
              <w:jc w:val="both"/>
              <w:rPr>
                <w:rFonts w:cs="Times New Roman"/>
                <w:b/>
                <w:noProof/>
                <w:sz w:val="20"/>
                <w:szCs w:val="20"/>
              </w:rPr>
            </w:pPr>
            <w:r>
              <w:rPr>
                <w:rFonts w:cs="Times New Roman"/>
                <w:b/>
                <w:bCs/>
                <w:noProof/>
                <w:sz w:val="20"/>
                <w:szCs w:val="20"/>
                <w:lang w:val="hr"/>
              </w:rPr>
              <w:t>Napomene</w:t>
            </w:r>
          </w:p>
        </w:tc>
      </w:tr>
      <w:tr w:rsidR="00CB4EBF" w:rsidRPr="00A23750" w14:paraId="114DDAE6" w14:textId="77777777" w:rsidTr="0054762C">
        <w:trPr>
          <w:trHeight w:val="629"/>
        </w:trPr>
        <w:tc>
          <w:tcPr>
            <w:tcW w:w="434" w:type="pct"/>
          </w:tcPr>
          <w:p w14:paraId="7937773D" w14:textId="77777777" w:rsidR="00CB4EBF" w:rsidRPr="001C431F" w:rsidRDefault="00CB4EBF" w:rsidP="0054762C">
            <w:pPr>
              <w:spacing w:after="0" w:line="240" w:lineRule="auto"/>
              <w:jc w:val="center"/>
              <w:rPr>
                <w:rFonts w:cs="Times New Roman"/>
                <w:iCs/>
                <w:noProof/>
                <w:sz w:val="20"/>
                <w:szCs w:val="20"/>
              </w:rPr>
            </w:pPr>
            <w:r>
              <w:rPr>
                <w:rFonts w:cs="Times New Roman"/>
                <w:noProof/>
                <w:sz w:val="20"/>
                <w:szCs w:val="20"/>
                <w:lang w:val="hr"/>
              </w:rPr>
              <w:t>2</w:t>
            </w:r>
          </w:p>
        </w:tc>
        <w:tc>
          <w:tcPr>
            <w:tcW w:w="477" w:type="pct"/>
          </w:tcPr>
          <w:p w14:paraId="5FE64AE8" w14:textId="77777777" w:rsidR="00CB4EBF" w:rsidRPr="001C431F" w:rsidRDefault="00CB4EBF" w:rsidP="0054762C">
            <w:pPr>
              <w:spacing w:after="0" w:line="240" w:lineRule="auto"/>
              <w:jc w:val="both"/>
              <w:rPr>
                <w:rFonts w:cs="Times New Roman"/>
                <w:iCs/>
                <w:noProof/>
                <w:sz w:val="20"/>
                <w:szCs w:val="20"/>
              </w:rPr>
            </w:pPr>
            <w:r>
              <w:rPr>
                <w:rFonts w:eastAsia="Times New Roman" w:cs="Times New Roman"/>
                <w:noProof/>
                <w:sz w:val="20"/>
                <w:szCs w:val="20"/>
                <w:lang w:val="hr"/>
              </w:rPr>
              <w:t>SO 2.1</w:t>
            </w:r>
          </w:p>
        </w:tc>
        <w:tc>
          <w:tcPr>
            <w:tcW w:w="300" w:type="pct"/>
          </w:tcPr>
          <w:p w14:paraId="20D487EA" w14:textId="77777777" w:rsidR="00CB4EBF" w:rsidRPr="001C431F" w:rsidRDefault="00CB4EBF" w:rsidP="0054762C">
            <w:pPr>
              <w:spacing w:after="0" w:line="240" w:lineRule="auto"/>
              <w:jc w:val="both"/>
              <w:rPr>
                <w:rFonts w:cs="Times New Roman"/>
                <w:iCs/>
                <w:noProof/>
                <w:sz w:val="20"/>
                <w:szCs w:val="20"/>
              </w:rPr>
            </w:pPr>
            <w:r>
              <w:rPr>
                <w:rFonts w:cs="Times New Roman"/>
                <w:noProof/>
                <w:sz w:val="20"/>
                <w:szCs w:val="20"/>
                <w:lang w:val="hr"/>
              </w:rPr>
              <w:t>RCR 104</w:t>
            </w:r>
          </w:p>
        </w:tc>
        <w:tc>
          <w:tcPr>
            <w:tcW w:w="506" w:type="pct"/>
            <w:shd w:val="clear" w:color="auto" w:fill="auto"/>
          </w:tcPr>
          <w:p w14:paraId="146EE97D" w14:textId="77777777" w:rsidR="00CB4EBF" w:rsidRPr="001C431F" w:rsidRDefault="00CB4EBF" w:rsidP="0054762C">
            <w:pPr>
              <w:spacing w:after="0" w:line="240" w:lineRule="auto"/>
              <w:rPr>
                <w:rFonts w:cs="Times New Roman"/>
                <w:bCs/>
                <w:iCs/>
                <w:noProof/>
                <w:sz w:val="20"/>
                <w:szCs w:val="20"/>
              </w:rPr>
            </w:pPr>
            <w:r>
              <w:rPr>
                <w:rFonts w:cs="Times New Roman"/>
                <w:noProof/>
                <w:sz w:val="20"/>
                <w:szCs w:val="20"/>
                <w:lang w:val="hr"/>
              </w:rPr>
              <w:t xml:space="preserve">Rješenja koja su organizacije </w:t>
            </w:r>
            <w:r>
              <w:rPr>
                <w:rFonts w:cs="Times New Roman"/>
                <w:noProof/>
                <w:sz w:val="20"/>
                <w:szCs w:val="20"/>
                <w:lang w:val="hr"/>
              </w:rPr>
              <w:lastRenderedPageBreak/>
              <w:t>pokrenule ili proširile</w:t>
            </w:r>
          </w:p>
        </w:tc>
        <w:tc>
          <w:tcPr>
            <w:tcW w:w="686" w:type="pct"/>
          </w:tcPr>
          <w:p w14:paraId="7E000CD7" w14:textId="77777777" w:rsidR="00CB4EBF" w:rsidRPr="001C431F" w:rsidRDefault="00CB4EBF" w:rsidP="0054762C">
            <w:pPr>
              <w:spacing w:after="0" w:line="240" w:lineRule="auto"/>
              <w:jc w:val="both"/>
              <w:rPr>
                <w:rFonts w:cs="Times New Roman"/>
                <w:iCs/>
                <w:noProof/>
                <w:sz w:val="20"/>
                <w:szCs w:val="20"/>
              </w:rPr>
            </w:pPr>
            <w:r>
              <w:rPr>
                <w:rFonts w:cs="Times New Roman"/>
                <w:noProof/>
                <w:sz w:val="20"/>
                <w:szCs w:val="20"/>
                <w:lang w:val="hr"/>
              </w:rPr>
              <w:lastRenderedPageBreak/>
              <w:t>rješenja</w:t>
            </w:r>
          </w:p>
        </w:tc>
        <w:tc>
          <w:tcPr>
            <w:tcW w:w="451" w:type="pct"/>
          </w:tcPr>
          <w:p w14:paraId="62F9894B" w14:textId="77777777" w:rsidR="00CB4EBF" w:rsidRPr="001C431F" w:rsidRDefault="00CB4EBF" w:rsidP="0054762C">
            <w:pPr>
              <w:spacing w:after="0" w:line="240" w:lineRule="auto"/>
              <w:jc w:val="center"/>
              <w:rPr>
                <w:rFonts w:cs="Times New Roman"/>
                <w:iCs/>
                <w:noProof/>
                <w:sz w:val="20"/>
                <w:szCs w:val="20"/>
              </w:rPr>
            </w:pPr>
            <w:r>
              <w:rPr>
                <w:rFonts w:cs="Times New Roman"/>
                <w:noProof/>
                <w:sz w:val="20"/>
                <w:szCs w:val="20"/>
                <w:lang w:val="hr"/>
              </w:rPr>
              <w:t>0</w:t>
            </w:r>
          </w:p>
        </w:tc>
        <w:tc>
          <w:tcPr>
            <w:tcW w:w="520" w:type="pct"/>
          </w:tcPr>
          <w:p w14:paraId="1A14DF62" w14:textId="77777777" w:rsidR="00CB4EBF" w:rsidRPr="001C431F" w:rsidRDefault="00CB4EBF" w:rsidP="0054762C">
            <w:pPr>
              <w:spacing w:after="0" w:line="240" w:lineRule="auto"/>
              <w:jc w:val="center"/>
              <w:rPr>
                <w:rFonts w:cs="Times New Roman"/>
                <w:bCs/>
                <w:iCs/>
                <w:noProof/>
                <w:sz w:val="20"/>
                <w:szCs w:val="20"/>
              </w:rPr>
            </w:pPr>
            <w:r>
              <w:rPr>
                <w:rFonts w:cs="Times New Roman"/>
                <w:noProof/>
                <w:sz w:val="20"/>
                <w:szCs w:val="20"/>
                <w:lang w:val="hr"/>
              </w:rPr>
              <w:t>2021.</w:t>
            </w:r>
          </w:p>
        </w:tc>
        <w:tc>
          <w:tcPr>
            <w:tcW w:w="537" w:type="pct"/>
            <w:shd w:val="clear" w:color="auto" w:fill="auto"/>
          </w:tcPr>
          <w:p w14:paraId="2DCA83FA" w14:textId="77777777" w:rsidR="00CB4EBF" w:rsidRPr="001C431F" w:rsidRDefault="00CB4EBF" w:rsidP="0054762C">
            <w:pPr>
              <w:spacing w:after="0" w:line="240" w:lineRule="auto"/>
              <w:jc w:val="center"/>
              <w:rPr>
                <w:rFonts w:cs="Times New Roman"/>
                <w:bCs/>
                <w:iCs/>
                <w:noProof/>
                <w:sz w:val="20"/>
                <w:szCs w:val="20"/>
              </w:rPr>
            </w:pPr>
            <w:r>
              <w:rPr>
                <w:rFonts w:cs="Times New Roman"/>
                <w:noProof/>
                <w:sz w:val="20"/>
                <w:szCs w:val="20"/>
                <w:lang w:val="hr"/>
              </w:rPr>
              <w:t>13</w:t>
            </w:r>
          </w:p>
        </w:tc>
        <w:tc>
          <w:tcPr>
            <w:tcW w:w="537" w:type="pct"/>
            <w:shd w:val="clear" w:color="auto" w:fill="auto"/>
          </w:tcPr>
          <w:p w14:paraId="4D35CB56" w14:textId="77777777" w:rsidR="00CB4EBF" w:rsidRPr="001C431F" w:rsidRDefault="00CB4EBF" w:rsidP="0054762C">
            <w:pPr>
              <w:spacing w:after="0" w:line="240" w:lineRule="auto"/>
              <w:rPr>
                <w:rFonts w:cs="Times New Roman"/>
                <w:bCs/>
                <w:iCs/>
                <w:noProof/>
                <w:sz w:val="20"/>
                <w:szCs w:val="20"/>
              </w:rPr>
            </w:pPr>
            <w:r>
              <w:rPr>
                <w:rFonts w:cs="Times New Roman"/>
                <w:noProof/>
                <w:sz w:val="20"/>
                <w:szCs w:val="20"/>
                <w:lang w:val="hr"/>
              </w:rPr>
              <w:t xml:space="preserve">Sustav praćenja upravljačkog </w:t>
            </w:r>
            <w:r>
              <w:rPr>
                <w:rFonts w:cs="Times New Roman"/>
                <w:noProof/>
                <w:sz w:val="20"/>
                <w:szCs w:val="20"/>
                <w:lang w:val="hr"/>
              </w:rPr>
              <w:lastRenderedPageBreak/>
              <w:t>tijela / istraživanje</w:t>
            </w:r>
          </w:p>
        </w:tc>
        <w:tc>
          <w:tcPr>
            <w:tcW w:w="553" w:type="pct"/>
          </w:tcPr>
          <w:p w14:paraId="23C680F4" w14:textId="77777777" w:rsidR="00CB4EBF" w:rsidRPr="001C431F" w:rsidRDefault="00CB4EBF" w:rsidP="0054762C">
            <w:pPr>
              <w:spacing w:after="0"/>
              <w:rPr>
                <w:rFonts w:cs="Times New Roman"/>
                <w:bCs/>
                <w:iCs/>
                <w:noProof/>
                <w:sz w:val="20"/>
                <w:szCs w:val="20"/>
              </w:rPr>
            </w:pPr>
          </w:p>
        </w:tc>
      </w:tr>
      <w:tr w:rsidR="00CB4EBF" w:rsidRPr="00A23750" w14:paraId="57D0B81C" w14:textId="77777777" w:rsidTr="0054762C">
        <w:trPr>
          <w:trHeight w:val="629"/>
        </w:trPr>
        <w:tc>
          <w:tcPr>
            <w:tcW w:w="434" w:type="pct"/>
          </w:tcPr>
          <w:p w14:paraId="72D35D41" w14:textId="77777777" w:rsidR="00CB4EBF" w:rsidRPr="001C431F" w:rsidRDefault="00CB4EBF" w:rsidP="0054762C">
            <w:pPr>
              <w:spacing w:after="0" w:line="240" w:lineRule="auto"/>
              <w:jc w:val="center"/>
              <w:rPr>
                <w:rFonts w:cs="Times New Roman"/>
                <w:iCs/>
                <w:noProof/>
                <w:sz w:val="20"/>
                <w:szCs w:val="20"/>
              </w:rPr>
            </w:pPr>
            <w:r>
              <w:rPr>
                <w:rFonts w:cs="Times New Roman"/>
                <w:noProof/>
                <w:sz w:val="20"/>
                <w:szCs w:val="20"/>
                <w:lang w:val="hr"/>
              </w:rPr>
              <w:t>2</w:t>
            </w:r>
          </w:p>
        </w:tc>
        <w:tc>
          <w:tcPr>
            <w:tcW w:w="477" w:type="pct"/>
          </w:tcPr>
          <w:p w14:paraId="31AD6D31" w14:textId="77777777" w:rsidR="00CB4EBF" w:rsidRPr="001C431F" w:rsidRDefault="00CB4EBF" w:rsidP="0054762C">
            <w:pPr>
              <w:spacing w:after="0" w:line="240" w:lineRule="auto"/>
              <w:jc w:val="both"/>
              <w:rPr>
                <w:rFonts w:cs="Times New Roman"/>
                <w:iCs/>
                <w:noProof/>
                <w:sz w:val="20"/>
                <w:szCs w:val="20"/>
              </w:rPr>
            </w:pPr>
            <w:r>
              <w:rPr>
                <w:rFonts w:eastAsia="Times New Roman" w:cs="Times New Roman"/>
                <w:noProof/>
                <w:sz w:val="20"/>
                <w:szCs w:val="20"/>
                <w:lang w:val="hr"/>
              </w:rPr>
              <w:t>SO 2.1</w:t>
            </w:r>
          </w:p>
        </w:tc>
        <w:tc>
          <w:tcPr>
            <w:tcW w:w="300" w:type="pct"/>
          </w:tcPr>
          <w:p w14:paraId="6542BDE6" w14:textId="77777777" w:rsidR="00CB4EBF" w:rsidRPr="001C431F" w:rsidRDefault="00CB4EBF" w:rsidP="0054762C">
            <w:pPr>
              <w:spacing w:after="0" w:line="240" w:lineRule="auto"/>
              <w:jc w:val="both"/>
              <w:rPr>
                <w:rFonts w:cs="Times New Roman"/>
                <w:iCs/>
                <w:noProof/>
                <w:sz w:val="20"/>
                <w:szCs w:val="20"/>
              </w:rPr>
            </w:pPr>
            <w:r>
              <w:rPr>
                <w:rFonts w:cs="Times New Roman"/>
                <w:noProof/>
                <w:sz w:val="20"/>
                <w:szCs w:val="20"/>
                <w:lang w:val="hr"/>
              </w:rPr>
              <w:t>RCR 84</w:t>
            </w:r>
          </w:p>
        </w:tc>
        <w:tc>
          <w:tcPr>
            <w:tcW w:w="506" w:type="pct"/>
            <w:shd w:val="clear" w:color="auto" w:fill="auto"/>
          </w:tcPr>
          <w:p w14:paraId="4C7C1D3C" w14:textId="77777777" w:rsidR="00CB4EBF" w:rsidRPr="001C431F" w:rsidRDefault="00CB4EBF" w:rsidP="0054762C">
            <w:pPr>
              <w:spacing w:after="0" w:line="240" w:lineRule="auto"/>
              <w:rPr>
                <w:rFonts w:cs="Times New Roman"/>
                <w:bCs/>
                <w:iCs/>
                <w:noProof/>
                <w:sz w:val="20"/>
                <w:szCs w:val="20"/>
              </w:rPr>
            </w:pPr>
            <w:r>
              <w:rPr>
                <w:rFonts w:cs="Times New Roman"/>
                <w:noProof/>
                <w:sz w:val="20"/>
                <w:szCs w:val="20"/>
                <w:lang w:val="hr"/>
              </w:rPr>
              <w:t>Organizacije koje surađuju preko granica nakon okončanja projekta</w:t>
            </w:r>
          </w:p>
        </w:tc>
        <w:tc>
          <w:tcPr>
            <w:tcW w:w="686" w:type="pct"/>
          </w:tcPr>
          <w:p w14:paraId="507A6A3A" w14:textId="77777777" w:rsidR="00CB4EBF" w:rsidRPr="001C431F" w:rsidRDefault="00CB4EBF" w:rsidP="0054762C">
            <w:pPr>
              <w:spacing w:after="0" w:line="240" w:lineRule="auto"/>
              <w:jc w:val="both"/>
              <w:rPr>
                <w:rFonts w:cs="Times New Roman"/>
                <w:iCs/>
                <w:noProof/>
                <w:sz w:val="20"/>
                <w:szCs w:val="20"/>
              </w:rPr>
            </w:pPr>
            <w:r>
              <w:rPr>
                <w:rFonts w:cs="Times New Roman"/>
                <w:noProof/>
                <w:sz w:val="20"/>
                <w:szCs w:val="20"/>
                <w:lang w:val="hr"/>
              </w:rPr>
              <w:t>organizacije</w:t>
            </w:r>
          </w:p>
        </w:tc>
        <w:tc>
          <w:tcPr>
            <w:tcW w:w="451" w:type="pct"/>
          </w:tcPr>
          <w:p w14:paraId="034A0E56" w14:textId="77777777" w:rsidR="00CB4EBF" w:rsidRPr="001C431F" w:rsidRDefault="00CB4EBF" w:rsidP="0054762C">
            <w:pPr>
              <w:spacing w:after="0" w:line="240" w:lineRule="auto"/>
              <w:jc w:val="center"/>
              <w:rPr>
                <w:rFonts w:cs="Times New Roman"/>
                <w:iCs/>
                <w:noProof/>
                <w:sz w:val="20"/>
                <w:szCs w:val="20"/>
              </w:rPr>
            </w:pPr>
            <w:r>
              <w:rPr>
                <w:rFonts w:cs="Times New Roman"/>
                <w:noProof/>
                <w:sz w:val="20"/>
                <w:szCs w:val="20"/>
                <w:lang w:val="hr"/>
              </w:rPr>
              <w:t>0</w:t>
            </w:r>
          </w:p>
        </w:tc>
        <w:tc>
          <w:tcPr>
            <w:tcW w:w="520" w:type="pct"/>
          </w:tcPr>
          <w:p w14:paraId="4B14B5DC" w14:textId="77777777" w:rsidR="00CB4EBF" w:rsidRPr="001C431F" w:rsidRDefault="00CB4EBF" w:rsidP="0054762C">
            <w:pPr>
              <w:spacing w:after="0" w:line="240" w:lineRule="auto"/>
              <w:jc w:val="center"/>
              <w:rPr>
                <w:rFonts w:cs="Times New Roman"/>
                <w:bCs/>
                <w:iCs/>
                <w:noProof/>
                <w:sz w:val="20"/>
                <w:szCs w:val="20"/>
              </w:rPr>
            </w:pPr>
            <w:r>
              <w:rPr>
                <w:rFonts w:cs="Times New Roman"/>
                <w:noProof/>
                <w:sz w:val="20"/>
                <w:szCs w:val="20"/>
                <w:lang w:val="hr"/>
              </w:rPr>
              <w:t>2021.</w:t>
            </w:r>
          </w:p>
        </w:tc>
        <w:tc>
          <w:tcPr>
            <w:tcW w:w="537" w:type="pct"/>
            <w:shd w:val="clear" w:color="auto" w:fill="auto"/>
          </w:tcPr>
          <w:p w14:paraId="749190BD" w14:textId="77777777" w:rsidR="00CB4EBF" w:rsidRPr="001C431F" w:rsidRDefault="00CB4EBF" w:rsidP="0054762C">
            <w:pPr>
              <w:spacing w:after="0" w:line="240" w:lineRule="auto"/>
              <w:jc w:val="center"/>
              <w:rPr>
                <w:rFonts w:cs="Times New Roman"/>
                <w:bCs/>
                <w:iCs/>
                <w:noProof/>
                <w:sz w:val="20"/>
                <w:szCs w:val="20"/>
              </w:rPr>
            </w:pPr>
            <w:r>
              <w:rPr>
                <w:rFonts w:cs="Times New Roman"/>
                <w:noProof/>
                <w:sz w:val="20"/>
                <w:szCs w:val="20"/>
                <w:lang w:val="hr"/>
              </w:rPr>
              <w:t>15</w:t>
            </w:r>
          </w:p>
        </w:tc>
        <w:tc>
          <w:tcPr>
            <w:tcW w:w="537" w:type="pct"/>
            <w:shd w:val="clear" w:color="auto" w:fill="auto"/>
          </w:tcPr>
          <w:p w14:paraId="0F6A8F03" w14:textId="77777777" w:rsidR="00CB4EBF" w:rsidRPr="001C431F" w:rsidRDefault="00CB4EBF" w:rsidP="0054762C">
            <w:pPr>
              <w:spacing w:after="0" w:line="240" w:lineRule="auto"/>
              <w:rPr>
                <w:rFonts w:cs="Times New Roman"/>
                <w:bCs/>
                <w:iCs/>
                <w:noProof/>
                <w:sz w:val="20"/>
                <w:szCs w:val="20"/>
              </w:rPr>
            </w:pPr>
            <w:r>
              <w:rPr>
                <w:rFonts w:cs="Times New Roman"/>
                <w:noProof/>
                <w:sz w:val="20"/>
                <w:szCs w:val="20"/>
                <w:lang w:val="hr"/>
              </w:rPr>
              <w:t>Sustav praćenja upravljačkog tijela / istraživanje</w:t>
            </w:r>
          </w:p>
        </w:tc>
        <w:tc>
          <w:tcPr>
            <w:tcW w:w="553" w:type="pct"/>
          </w:tcPr>
          <w:p w14:paraId="05FD0C62" w14:textId="77777777" w:rsidR="00CB4EBF" w:rsidRPr="001C431F" w:rsidRDefault="00CB4EBF" w:rsidP="0054762C">
            <w:pPr>
              <w:spacing w:after="0"/>
              <w:rPr>
                <w:rFonts w:cs="Times New Roman"/>
                <w:bCs/>
                <w:iCs/>
                <w:noProof/>
                <w:sz w:val="20"/>
                <w:szCs w:val="20"/>
              </w:rPr>
            </w:pPr>
          </w:p>
        </w:tc>
      </w:tr>
    </w:tbl>
    <w:p w14:paraId="7D33DFF6"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p>
    <w:p w14:paraId="4A23DFBF"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r>
        <w:rPr>
          <w:rFonts w:eastAsia="Times New Roman" w:cs="Times New Roman"/>
          <w:noProof/>
          <w:sz w:val="20"/>
          <w:szCs w:val="20"/>
          <w:lang w:val="hr"/>
        </w:rPr>
        <w:t>Glavne ciljne skupine</w:t>
      </w:r>
    </w:p>
    <w:p w14:paraId="5D4B7422"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i/>
          <w:iCs/>
          <w:noProof/>
          <w:color w:val="000000"/>
          <w:sz w:val="20"/>
          <w:szCs w:val="20"/>
          <w:lang w:val="hr"/>
        </w:rPr>
        <w:t>Upućivanje: članak 17. stavak 3. točka (e) podtočka iii., članak 17. stavak 9. točka (c) podtočka iv.</w:t>
      </w:r>
    </w:p>
    <w:p w14:paraId="32B31CB6" w14:textId="77777777" w:rsidR="00CB4EBF" w:rsidRPr="001C431F" w:rsidRDefault="00CB4EBF" w:rsidP="00CB4EBF">
      <w:pPr>
        <w:spacing w:after="0"/>
        <w:jc w:val="both"/>
        <w:rPr>
          <w:rFonts w:cs="Times New Roman"/>
          <w:sz w:val="20"/>
          <w:szCs w:val="20"/>
        </w:rPr>
      </w:pPr>
    </w:p>
    <w:p w14:paraId="1C613C39" w14:textId="77777777" w:rsidR="00CB4EBF" w:rsidRDefault="00CB4EBF" w:rsidP="00CB4EBF">
      <w:pPr>
        <w:spacing w:after="0"/>
        <w:jc w:val="both"/>
        <w:rPr>
          <w:rFonts w:cs="Times New Roman"/>
          <w:sz w:val="20"/>
          <w:szCs w:val="20"/>
        </w:rPr>
      </w:pPr>
      <w:r>
        <w:rPr>
          <w:rFonts w:cs="Times New Roman"/>
          <w:sz w:val="20"/>
          <w:szCs w:val="20"/>
          <w:lang w:val="hr"/>
        </w:rPr>
        <w:t xml:space="preserve">Izravne ciljne skupine (okvirni popis potencijalnih korisnika) za sheme potpore s otvorenim pozivom jesu </w:t>
      </w:r>
    </w:p>
    <w:p w14:paraId="595022D5" w14:textId="77777777" w:rsidR="00CB4EBF" w:rsidRPr="00FC3D97" w:rsidRDefault="00CB4EBF" w:rsidP="00CB4EBF">
      <w:pPr>
        <w:pStyle w:val="ListParagraph"/>
        <w:numPr>
          <w:ilvl w:val="0"/>
          <w:numId w:val="11"/>
        </w:numPr>
        <w:spacing w:after="0"/>
        <w:jc w:val="both"/>
        <w:rPr>
          <w:rFonts w:cs="Times New Roman"/>
          <w:sz w:val="20"/>
          <w:szCs w:val="20"/>
        </w:rPr>
      </w:pPr>
      <w:r>
        <w:rPr>
          <w:sz w:val="20"/>
          <w:szCs w:val="20"/>
          <w:lang w:val="hr"/>
        </w:rPr>
        <w:t>nacionalna, regionalna i lokalna tijela javne vlasti</w:t>
      </w:r>
      <w:r>
        <w:rPr>
          <w:lang w:val="hr"/>
        </w:rPr>
        <w:t xml:space="preserve"> </w:t>
      </w:r>
      <w:r>
        <w:rPr>
          <w:sz w:val="20"/>
          <w:szCs w:val="20"/>
          <w:lang w:val="hr"/>
        </w:rPr>
        <w:t xml:space="preserve">i tijela kojima se upravlja na temelju javnog prava, </w:t>
      </w:r>
    </w:p>
    <w:p w14:paraId="72553432" w14:textId="77777777" w:rsidR="00CB4EBF" w:rsidRPr="00FC3D97" w:rsidRDefault="00CB4EBF" w:rsidP="00CB4EBF">
      <w:pPr>
        <w:pStyle w:val="ListParagraph"/>
        <w:numPr>
          <w:ilvl w:val="0"/>
          <w:numId w:val="11"/>
        </w:numPr>
        <w:spacing w:after="0"/>
        <w:jc w:val="both"/>
        <w:rPr>
          <w:rFonts w:cs="Times New Roman"/>
          <w:sz w:val="20"/>
          <w:szCs w:val="20"/>
        </w:rPr>
      </w:pPr>
      <w:r>
        <w:rPr>
          <w:rFonts w:cs="Times New Roman"/>
          <w:sz w:val="20"/>
          <w:szCs w:val="20"/>
          <w:lang w:val="hr"/>
        </w:rPr>
        <w:t>regionalne i lokalne razvojne agencije,</w:t>
      </w:r>
    </w:p>
    <w:p w14:paraId="49C054CE" w14:textId="77777777" w:rsidR="00CB4EBF" w:rsidRPr="00872C85" w:rsidRDefault="00CB4EBF" w:rsidP="00CB4EBF">
      <w:pPr>
        <w:pStyle w:val="ListParagraph"/>
        <w:numPr>
          <w:ilvl w:val="0"/>
          <w:numId w:val="11"/>
        </w:numPr>
        <w:spacing w:after="0"/>
        <w:jc w:val="both"/>
        <w:rPr>
          <w:rFonts w:cs="Times New Roman"/>
          <w:sz w:val="20"/>
          <w:szCs w:val="20"/>
        </w:rPr>
      </w:pPr>
      <w:r>
        <w:rPr>
          <w:rFonts w:cs="Times New Roman"/>
          <w:sz w:val="20"/>
          <w:szCs w:val="20"/>
          <w:lang w:val="hr"/>
        </w:rPr>
        <w:t xml:space="preserve">sveučilišta, </w:t>
      </w:r>
    </w:p>
    <w:p w14:paraId="72823960" w14:textId="77777777" w:rsidR="00CB4EBF" w:rsidRDefault="00CB4EBF" w:rsidP="00CB4EBF">
      <w:pPr>
        <w:pStyle w:val="ListParagraph"/>
        <w:numPr>
          <w:ilvl w:val="0"/>
          <w:numId w:val="11"/>
        </w:numPr>
        <w:spacing w:after="0"/>
        <w:jc w:val="both"/>
        <w:rPr>
          <w:rFonts w:cs="Times New Roman"/>
          <w:sz w:val="20"/>
          <w:szCs w:val="20"/>
        </w:rPr>
      </w:pPr>
      <w:r>
        <w:rPr>
          <w:rFonts w:cs="Times New Roman"/>
          <w:sz w:val="20"/>
          <w:szCs w:val="20"/>
          <w:lang w:val="hr"/>
        </w:rPr>
        <w:t xml:space="preserve">centri znanja (i nacionalni), </w:t>
      </w:r>
    </w:p>
    <w:p w14:paraId="08E01037" w14:textId="77777777" w:rsidR="00CB4EBF" w:rsidRPr="00FC3D97" w:rsidRDefault="00CB4EBF" w:rsidP="00CB4EBF">
      <w:pPr>
        <w:pStyle w:val="ListParagraph"/>
        <w:numPr>
          <w:ilvl w:val="0"/>
          <w:numId w:val="11"/>
        </w:numPr>
        <w:spacing w:after="0"/>
        <w:jc w:val="both"/>
        <w:rPr>
          <w:rFonts w:cs="Times New Roman"/>
          <w:sz w:val="20"/>
          <w:szCs w:val="20"/>
        </w:rPr>
      </w:pPr>
      <w:r>
        <w:rPr>
          <w:rFonts w:cs="Times New Roman"/>
          <w:sz w:val="20"/>
          <w:szCs w:val="20"/>
          <w:lang w:val="hr"/>
        </w:rPr>
        <w:t>istraživačke institucije,</w:t>
      </w:r>
    </w:p>
    <w:p w14:paraId="16DAB6AB" w14:textId="77777777" w:rsidR="00CB4EBF" w:rsidRPr="00872C85" w:rsidRDefault="00CB4EBF" w:rsidP="00CB4EBF">
      <w:pPr>
        <w:pStyle w:val="ListParagraph"/>
        <w:numPr>
          <w:ilvl w:val="0"/>
          <w:numId w:val="11"/>
        </w:numPr>
        <w:spacing w:after="0"/>
        <w:jc w:val="both"/>
        <w:rPr>
          <w:rFonts w:cs="Times New Roman"/>
          <w:sz w:val="20"/>
          <w:szCs w:val="20"/>
        </w:rPr>
      </w:pPr>
      <w:r>
        <w:rPr>
          <w:rFonts w:cs="Times New Roman"/>
          <w:sz w:val="20"/>
          <w:szCs w:val="20"/>
          <w:lang w:val="hr"/>
        </w:rPr>
        <w:t>obrazovne institucije,</w:t>
      </w:r>
    </w:p>
    <w:p w14:paraId="5F9E89CC" w14:textId="77777777" w:rsidR="00CB4EBF" w:rsidRDefault="00CB4EBF" w:rsidP="00CB4EBF">
      <w:pPr>
        <w:pStyle w:val="ListParagraph"/>
        <w:numPr>
          <w:ilvl w:val="0"/>
          <w:numId w:val="11"/>
        </w:numPr>
        <w:spacing w:after="0"/>
        <w:jc w:val="both"/>
        <w:rPr>
          <w:rFonts w:cs="Times New Roman"/>
          <w:sz w:val="20"/>
          <w:szCs w:val="20"/>
        </w:rPr>
      </w:pPr>
      <w:r>
        <w:rPr>
          <w:rFonts w:cs="Times New Roman"/>
          <w:sz w:val="20"/>
          <w:szCs w:val="20"/>
          <w:lang w:val="hr"/>
        </w:rPr>
        <w:t xml:space="preserve">energetske agencije, </w:t>
      </w:r>
    </w:p>
    <w:p w14:paraId="6019427B" w14:textId="77777777" w:rsidR="00CB4EBF" w:rsidRPr="00872C85" w:rsidRDefault="00CB4EBF" w:rsidP="00CB4EBF">
      <w:pPr>
        <w:pStyle w:val="ListParagraph"/>
        <w:numPr>
          <w:ilvl w:val="0"/>
          <w:numId w:val="11"/>
        </w:numPr>
        <w:spacing w:after="0"/>
        <w:jc w:val="both"/>
        <w:rPr>
          <w:rFonts w:cs="Times New Roman"/>
          <w:sz w:val="20"/>
          <w:szCs w:val="20"/>
        </w:rPr>
      </w:pPr>
      <w:r>
        <w:rPr>
          <w:rFonts w:cs="Times New Roman"/>
          <w:sz w:val="20"/>
          <w:szCs w:val="20"/>
          <w:lang w:val="hr"/>
        </w:rPr>
        <w:t>komunalna poduzeća (uključujući gospodarenje otpadom i vodama),</w:t>
      </w:r>
    </w:p>
    <w:p w14:paraId="44184DB0" w14:textId="77777777" w:rsidR="00CB4EBF" w:rsidRPr="00D17205" w:rsidRDefault="00CB4EBF" w:rsidP="00CB4EBF">
      <w:pPr>
        <w:pStyle w:val="ListParagraph"/>
        <w:numPr>
          <w:ilvl w:val="0"/>
          <w:numId w:val="11"/>
        </w:numPr>
        <w:spacing w:after="0"/>
        <w:jc w:val="both"/>
        <w:rPr>
          <w:rFonts w:cs="Times New Roman"/>
          <w:sz w:val="20"/>
          <w:szCs w:val="20"/>
        </w:rPr>
      </w:pPr>
      <w:r>
        <w:rPr>
          <w:rFonts w:cs="Times New Roman"/>
          <w:sz w:val="20"/>
          <w:szCs w:val="20"/>
          <w:lang w:val="hr"/>
        </w:rPr>
        <w:t xml:space="preserve">privatne neprofitne organizacije koje imaju stručnost u razvoju </w:t>
      </w:r>
      <w:proofErr w:type="spellStart"/>
      <w:r>
        <w:rPr>
          <w:rFonts w:cs="Times New Roman"/>
          <w:sz w:val="20"/>
          <w:szCs w:val="20"/>
          <w:lang w:val="hr"/>
        </w:rPr>
        <w:t>niskougljičnih</w:t>
      </w:r>
      <w:proofErr w:type="spellEnd"/>
      <w:r>
        <w:rPr>
          <w:rFonts w:cs="Times New Roman"/>
          <w:sz w:val="20"/>
          <w:szCs w:val="20"/>
          <w:lang w:val="hr"/>
        </w:rPr>
        <w:t xml:space="preserve"> mjera i </w:t>
      </w:r>
      <w:proofErr w:type="spellStart"/>
      <w:r>
        <w:rPr>
          <w:rFonts w:cs="Times New Roman"/>
          <w:sz w:val="20"/>
          <w:szCs w:val="20"/>
          <w:lang w:val="hr"/>
        </w:rPr>
        <w:t>niskougljičnim</w:t>
      </w:r>
      <w:proofErr w:type="spellEnd"/>
      <w:r>
        <w:rPr>
          <w:rFonts w:cs="Times New Roman"/>
          <w:sz w:val="20"/>
          <w:szCs w:val="20"/>
          <w:lang w:val="hr"/>
        </w:rPr>
        <w:t xml:space="preserve"> djelovanjima.</w:t>
      </w:r>
    </w:p>
    <w:p w14:paraId="73692D14" w14:textId="77777777" w:rsidR="00CB4EBF" w:rsidRPr="001C431F" w:rsidRDefault="00CB4EBF" w:rsidP="00CB4EBF">
      <w:pPr>
        <w:spacing w:after="0"/>
        <w:jc w:val="both"/>
        <w:rPr>
          <w:rFonts w:cs="Times New Roman"/>
          <w:sz w:val="20"/>
          <w:szCs w:val="20"/>
        </w:rPr>
      </w:pPr>
    </w:p>
    <w:p w14:paraId="24F357CC" w14:textId="77777777" w:rsidR="00CB4EBF" w:rsidRDefault="00CB4EBF" w:rsidP="00CB4EBF">
      <w:pPr>
        <w:spacing w:after="0"/>
        <w:jc w:val="both"/>
        <w:rPr>
          <w:rFonts w:cs="Times New Roman"/>
          <w:sz w:val="20"/>
          <w:szCs w:val="20"/>
        </w:rPr>
      </w:pPr>
      <w:r>
        <w:rPr>
          <w:rFonts w:cs="Times New Roman"/>
          <w:sz w:val="20"/>
          <w:szCs w:val="20"/>
          <w:lang w:val="hr"/>
        </w:rPr>
        <w:t>Neizravne ciljne skupine jesu</w:t>
      </w:r>
    </w:p>
    <w:p w14:paraId="267BE695" w14:textId="77777777" w:rsidR="00CB4EBF" w:rsidRPr="00872C85" w:rsidRDefault="00CB4EBF" w:rsidP="00CB4EBF">
      <w:pPr>
        <w:pStyle w:val="ListParagraph"/>
        <w:numPr>
          <w:ilvl w:val="0"/>
          <w:numId w:val="12"/>
        </w:numPr>
        <w:spacing w:after="0"/>
        <w:jc w:val="both"/>
        <w:rPr>
          <w:rFonts w:cs="Times New Roman"/>
          <w:sz w:val="20"/>
          <w:szCs w:val="20"/>
        </w:rPr>
      </w:pPr>
      <w:r>
        <w:rPr>
          <w:rFonts w:cs="Times New Roman"/>
          <w:sz w:val="20"/>
          <w:szCs w:val="20"/>
          <w:lang w:val="hr"/>
        </w:rPr>
        <w:t xml:space="preserve">lokalne javne vlasti, </w:t>
      </w:r>
    </w:p>
    <w:p w14:paraId="7A49A1D1" w14:textId="77777777" w:rsidR="00CB4EBF" w:rsidRDefault="00CB4EBF" w:rsidP="00CB4EBF">
      <w:pPr>
        <w:pStyle w:val="ListParagraph"/>
        <w:numPr>
          <w:ilvl w:val="0"/>
          <w:numId w:val="12"/>
        </w:numPr>
        <w:spacing w:after="0"/>
        <w:jc w:val="both"/>
        <w:rPr>
          <w:rFonts w:cs="Times New Roman"/>
          <w:sz w:val="20"/>
          <w:szCs w:val="20"/>
        </w:rPr>
      </w:pPr>
      <w:r>
        <w:rPr>
          <w:rFonts w:cs="Times New Roman"/>
          <w:sz w:val="20"/>
          <w:szCs w:val="20"/>
          <w:lang w:val="hr"/>
        </w:rPr>
        <w:t xml:space="preserve">privatna poduzeća i kućanstva na programskom području koja iskorištavaju </w:t>
      </w:r>
      <w:proofErr w:type="spellStart"/>
      <w:r>
        <w:rPr>
          <w:rFonts w:cs="Times New Roman"/>
          <w:sz w:val="20"/>
          <w:szCs w:val="20"/>
          <w:lang w:val="hr"/>
        </w:rPr>
        <w:t>niskougljične</w:t>
      </w:r>
      <w:proofErr w:type="spellEnd"/>
      <w:r>
        <w:rPr>
          <w:rFonts w:cs="Times New Roman"/>
          <w:sz w:val="20"/>
          <w:szCs w:val="20"/>
          <w:lang w:val="hr"/>
        </w:rPr>
        <w:t xml:space="preserve"> inicijative,</w:t>
      </w:r>
    </w:p>
    <w:p w14:paraId="75D1B7E6" w14:textId="77777777" w:rsidR="00CB4EBF" w:rsidRPr="00872C85" w:rsidRDefault="00CB4EBF" w:rsidP="00CB4EBF">
      <w:pPr>
        <w:pStyle w:val="ListParagraph"/>
        <w:numPr>
          <w:ilvl w:val="0"/>
          <w:numId w:val="12"/>
        </w:numPr>
        <w:spacing w:after="0"/>
        <w:jc w:val="both"/>
        <w:rPr>
          <w:rFonts w:cs="Times New Roman"/>
          <w:sz w:val="20"/>
          <w:szCs w:val="20"/>
        </w:rPr>
      </w:pPr>
      <w:r>
        <w:rPr>
          <w:rFonts w:cs="Times New Roman"/>
          <w:sz w:val="20"/>
          <w:szCs w:val="20"/>
          <w:lang w:val="hr"/>
        </w:rPr>
        <w:t>učenici, studenti, nastavnici, stanovništvo u podizanju svijesti.</w:t>
      </w:r>
    </w:p>
    <w:p w14:paraId="0988DED4" w14:textId="77777777" w:rsidR="00CB4EBF" w:rsidRPr="001C431F" w:rsidRDefault="00CB4EBF" w:rsidP="00CB4EBF">
      <w:pPr>
        <w:spacing w:after="0"/>
        <w:jc w:val="both"/>
        <w:rPr>
          <w:rFonts w:cs="Times New Roman"/>
          <w:sz w:val="20"/>
          <w:szCs w:val="20"/>
        </w:rPr>
      </w:pPr>
    </w:p>
    <w:p w14:paraId="62D9309F"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r>
        <w:rPr>
          <w:rFonts w:eastAsia="Times New Roman" w:cs="Times New Roman"/>
          <w:b/>
          <w:bCs/>
          <w:noProof/>
          <w:sz w:val="20"/>
          <w:szCs w:val="20"/>
          <w:lang w:val="hr"/>
        </w:rPr>
        <w:t>Posebna ciljna područja, uključujući planiranu upotrebu ITI-ja, CLLD-a ili drugih teritorijalnih alata</w:t>
      </w:r>
    </w:p>
    <w:p w14:paraId="412B3A26"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i/>
          <w:iCs/>
          <w:noProof/>
          <w:color w:val="000000"/>
          <w:sz w:val="20"/>
          <w:szCs w:val="20"/>
          <w:lang w:val="hr"/>
        </w:rPr>
        <w:t>Upućivanje: članak 17. stavak 3. točka (e) podtočka iv.</w:t>
      </w:r>
    </w:p>
    <w:p w14:paraId="32629D58" w14:textId="77777777" w:rsidR="00CB4EBF" w:rsidRPr="001C431F" w:rsidRDefault="00CB4EBF" w:rsidP="00CB4EBF">
      <w:pPr>
        <w:spacing w:after="0" w:line="259" w:lineRule="auto"/>
        <w:jc w:val="both"/>
        <w:rPr>
          <w:rFonts w:cs="Times New Roman"/>
          <w:sz w:val="20"/>
          <w:szCs w:val="20"/>
        </w:rPr>
      </w:pPr>
      <w:r>
        <w:rPr>
          <w:rFonts w:cs="Times New Roman"/>
          <w:sz w:val="20"/>
          <w:szCs w:val="20"/>
          <w:lang w:val="hr"/>
        </w:rPr>
        <w:t xml:space="preserve">Aktivnosti se provode u cijeloj programskoj regiji. </w:t>
      </w:r>
    </w:p>
    <w:p w14:paraId="0C3B1522" w14:textId="77777777" w:rsidR="00CB4EBF" w:rsidRPr="001C431F" w:rsidRDefault="00CB4EBF" w:rsidP="00CB4EBF">
      <w:pPr>
        <w:spacing w:after="0"/>
        <w:jc w:val="both"/>
        <w:rPr>
          <w:rFonts w:cs="Times New Roman"/>
          <w:sz w:val="20"/>
          <w:szCs w:val="20"/>
        </w:rPr>
      </w:pPr>
      <w:r>
        <w:rPr>
          <w:rFonts w:cs="Times New Roman"/>
          <w:sz w:val="20"/>
          <w:szCs w:val="20"/>
          <w:lang w:val="hr"/>
        </w:rPr>
        <w:t>nije primjenjivo</w:t>
      </w:r>
    </w:p>
    <w:p w14:paraId="51A67CDC"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p>
    <w:p w14:paraId="7B10F702"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r>
        <w:rPr>
          <w:rFonts w:eastAsia="Times New Roman" w:cs="Times New Roman"/>
          <w:b/>
          <w:bCs/>
          <w:noProof/>
          <w:sz w:val="20"/>
          <w:szCs w:val="20"/>
          <w:lang w:val="hr"/>
        </w:rPr>
        <w:t>Planirana upotreba financijskih instrumenata</w:t>
      </w:r>
    </w:p>
    <w:p w14:paraId="54E107EE"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i/>
          <w:iCs/>
          <w:noProof/>
          <w:color w:val="000000"/>
          <w:sz w:val="20"/>
          <w:szCs w:val="20"/>
          <w:lang w:val="hr"/>
        </w:rPr>
        <w:t>Upućivanje: članak 17. stavak 3. točka (e) podtočka v.</w:t>
      </w:r>
    </w:p>
    <w:p w14:paraId="57FA0735" w14:textId="77777777" w:rsidR="00CB4EBF" w:rsidRPr="001C431F" w:rsidRDefault="00CB4EBF" w:rsidP="00CB4EBF">
      <w:pPr>
        <w:spacing w:after="0"/>
        <w:jc w:val="both"/>
        <w:rPr>
          <w:rFonts w:cs="Times New Roman"/>
          <w:sz w:val="20"/>
          <w:szCs w:val="20"/>
        </w:rPr>
      </w:pPr>
      <w:r>
        <w:rPr>
          <w:rFonts w:cs="Times New Roman"/>
          <w:sz w:val="20"/>
          <w:szCs w:val="20"/>
          <w:lang w:val="hr"/>
        </w:rPr>
        <w:t>Neće se upotrebljavati financijski instrumenti.</w:t>
      </w:r>
    </w:p>
    <w:p w14:paraId="2DF35C9D"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p>
    <w:p w14:paraId="6C34BD23"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r>
        <w:rPr>
          <w:rFonts w:eastAsia="Times New Roman" w:cs="Times New Roman"/>
          <w:b/>
          <w:bCs/>
          <w:noProof/>
          <w:sz w:val="20"/>
          <w:szCs w:val="20"/>
          <w:lang w:val="hr"/>
        </w:rPr>
        <w:t>Okvirna raščlamba sredstava programa EU-a prema vrsti intervencije</w:t>
      </w:r>
    </w:p>
    <w:p w14:paraId="3E48DA35" w14:textId="77777777" w:rsidR="00CB4EBF" w:rsidRPr="001C431F" w:rsidRDefault="00CB4EBF" w:rsidP="00CB4EBF">
      <w:pPr>
        <w:spacing w:after="0" w:line="240" w:lineRule="auto"/>
        <w:jc w:val="both"/>
        <w:rPr>
          <w:rFonts w:cs="Times New Roman"/>
          <w:i/>
          <w:color w:val="000000"/>
          <w:sz w:val="20"/>
          <w:szCs w:val="20"/>
        </w:rPr>
      </w:pPr>
      <w:r>
        <w:rPr>
          <w:rFonts w:cs="Times New Roman"/>
          <w:i/>
          <w:iCs/>
          <w:color w:val="000000"/>
          <w:sz w:val="20"/>
          <w:szCs w:val="20"/>
          <w:lang w:val="hr"/>
        </w:rPr>
        <w:t xml:space="preserve">Upućivanje: </w:t>
      </w:r>
      <w:r>
        <w:rPr>
          <w:rFonts w:cs="Times New Roman"/>
          <w:i/>
          <w:iCs/>
          <w:noProof/>
          <w:color w:val="000000"/>
          <w:sz w:val="20"/>
          <w:szCs w:val="20"/>
          <w:lang w:val="hr"/>
        </w:rPr>
        <w:t>članak 17. stavak 3. točka (e) podtočka vi., članak 17. stavak 9. točka (c) podtočka v.</w:t>
      </w:r>
    </w:p>
    <w:p w14:paraId="0BE7EBB7" w14:textId="77777777" w:rsidR="00CB4EBF" w:rsidRPr="0090125E" w:rsidRDefault="00CB4EBF" w:rsidP="00CB4EBF">
      <w:pPr>
        <w:spacing w:after="0" w:line="240" w:lineRule="auto"/>
        <w:jc w:val="both"/>
        <w:rPr>
          <w:rFonts w:eastAsia="Times New Roman" w:cs="Times New Roman"/>
          <w:iCs/>
          <w:noProof/>
          <w:sz w:val="20"/>
          <w:szCs w:val="20"/>
        </w:rPr>
      </w:pPr>
    </w:p>
    <w:p w14:paraId="5B4A7165"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noProof/>
          <w:sz w:val="20"/>
          <w:szCs w:val="20"/>
          <w:lang w:val="hr"/>
        </w:rPr>
        <w:t>Tablica 4.: Dimenzija 1. – područje intervencije</w:t>
      </w:r>
    </w:p>
    <w:tbl>
      <w:tblPr>
        <w:tblStyle w:val="TableGrid"/>
        <w:tblW w:w="0" w:type="auto"/>
        <w:tblLook w:val="04A0" w:firstRow="1" w:lastRow="0" w:firstColumn="1" w:lastColumn="0" w:noHBand="0" w:noVBand="1"/>
      </w:tblPr>
      <w:tblGrid>
        <w:gridCol w:w="1827"/>
        <w:gridCol w:w="1613"/>
        <w:gridCol w:w="1858"/>
        <w:gridCol w:w="1180"/>
        <w:gridCol w:w="2582"/>
      </w:tblGrid>
      <w:tr w:rsidR="00CB4EBF" w:rsidRPr="00A23750" w14:paraId="48DDA237" w14:textId="77777777" w:rsidTr="0054762C">
        <w:tc>
          <w:tcPr>
            <w:tcW w:w="1827" w:type="dxa"/>
          </w:tcPr>
          <w:p w14:paraId="51ED0615"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Prioritet br.</w:t>
            </w:r>
          </w:p>
        </w:tc>
        <w:tc>
          <w:tcPr>
            <w:tcW w:w="1613" w:type="dxa"/>
          </w:tcPr>
          <w:p w14:paraId="0D0F3E08"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Fond</w:t>
            </w:r>
          </w:p>
        </w:tc>
        <w:tc>
          <w:tcPr>
            <w:tcW w:w="1858" w:type="dxa"/>
          </w:tcPr>
          <w:p w14:paraId="1CCB69B0"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Specifični cilj</w:t>
            </w:r>
          </w:p>
        </w:tc>
        <w:tc>
          <w:tcPr>
            <w:tcW w:w="1180" w:type="dxa"/>
          </w:tcPr>
          <w:p w14:paraId="42A241EE"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 xml:space="preserve">Oznaka </w:t>
            </w:r>
          </w:p>
        </w:tc>
        <w:tc>
          <w:tcPr>
            <w:tcW w:w="2582" w:type="dxa"/>
          </w:tcPr>
          <w:p w14:paraId="65C81BC1"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Iznos (EUR)</w:t>
            </w:r>
          </w:p>
        </w:tc>
      </w:tr>
    </w:tbl>
    <w:tbl>
      <w:tblPr>
        <w:tblStyle w:val="TableGrid1"/>
        <w:tblW w:w="9062" w:type="dxa"/>
        <w:tblLook w:val="04A0" w:firstRow="1" w:lastRow="0" w:firstColumn="1" w:lastColumn="0" w:noHBand="0" w:noVBand="1"/>
      </w:tblPr>
      <w:tblGrid>
        <w:gridCol w:w="1754"/>
        <w:gridCol w:w="1572"/>
        <w:gridCol w:w="1785"/>
        <w:gridCol w:w="1461"/>
        <w:gridCol w:w="2490"/>
      </w:tblGrid>
      <w:tr w:rsidR="00CB4EBF" w:rsidRPr="00A23750" w14:paraId="45324FD1" w14:textId="77777777" w:rsidTr="0054762C">
        <w:tc>
          <w:tcPr>
            <w:tcW w:w="1788" w:type="dxa"/>
          </w:tcPr>
          <w:p w14:paraId="79A4EF6B" w14:textId="77777777" w:rsidR="00CB4EBF" w:rsidRPr="001C431F" w:rsidRDefault="00CB4EBF" w:rsidP="0054762C">
            <w:pPr>
              <w:rPr>
                <w:rFonts w:eastAsia="Times New Roman" w:cs="Times New Roman"/>
                <w:iCs/>
                <w:noProof/>
                <w:sz w:val="20"/>
                <w:szCs w:val="20"/>
              </w:rPr>
            </w:pPr>
            <w:r>
              <w:rPr>
                <w:rFonts w:eastAsia="Times New Roman" w:cs="Times New Roman"/>
                <w:noProof/>
                <w:sz w:val="20"/>
                <w:szCs w:val="20"/>
                <w:lang w:val="hr"/>
              </w:rPr>
              <w:t>2</w:t>
            </w:r>
          </w:p>
        </w:tc>
        <w:tc>
          <w:tcPr>
            <w:tcW w:w="1593" w:type="dxa"/>
          </w:tcPr>
          <w:p w14:paraId="4781DB19" w14:textId="77777777" w:rsidR="00CB4EBF" w:rsidRPr="001C431F" w:rsidRDefault="00CB4EBF" w:rsidP="0054762C">
            <w:pPr>
              <w:rPr>
                <w:rFonts w:eastAsia="Times New Roman" w:cs="Times New Roman"/>
                <w:iCs/>
                <w:noProof/>
                <w:sz w:val="20"/>
                <w:szCs w:val="20"/>
              </w:rPr>
            </w:pPr>
            <w:r>
              <w:rPr>
                <w:rFonts w:eastAsia="Times New Roman" w:cs="Times New Roman"/>
                <w:noProof/>
                <w:sz w:val="20"/>
                <w:szCs w:val="20"/>
                <w:lang w:val="hr"/>
              </w:rPr>
              <w:t>EFRR</w:t>
            </w:r>
          </w:p>
        </w:tc>
        <w:tc>
          <w:tcPr>
            <w:tcW w:w="1817" w:type="dxa"/>
          </w:tcPr>
          <w:p w14:paraId="5BBF3867" w14:textId="77777777" w:rsidR="00CB4EBF" w:rsidRPr="001C431F" w:rsidRDefault="00CB4EBF" w:rsidP="0054762C">
            <w:pPr>
              <w:rPr>
                <w:rFonts w:eastAsia="Times New Roman" w:cs="Times New Roman"/>
                <w:iCs/>
                <w:noProof/>
                <w:sz w:val="20"/>
                <w:szCs w:val="20"/>
              </w:rPr>
            </w:pPr>
            <w:r>
              <w:rPr>
                <w:rFonts w:eastAsia="Times New Roman" w:cs="Times New Roman"/>
                <w:noProof/>
                <w:sz w:val="20"/>
                <w:szCs w:val="20"/>
                <w:lang w:val="hr"/>
              </w:rPr>
              <w:t>SO 2.1</w:t>
            </w:r>
          </w:p>
        </w:tc>
        <w:tc>
          <w:tcPr>
            <w:tcW w:w="1344" w:type="dxa"/>
          </w:tcPr>
          <w:p w14:paraId="51E3BDF4" w14:textId="77777777" w:rsidR="00CB4EBF" w:rsidRDefault="00CB4EBF" w:rsidP="0054762C">
            <w:pPr>
              <w:rPr>
                <w:rFonts w:eastAsia="Times New Roman" w:cs="Times New Roman"/>
                <w:iCs/>
                <w:noProof/>
                <w:sz w:val="20"/>
                <w:szCs w:val="20"/>
              </w:rPr>
            </w:pPr>
            <w:r>
              <w:rPr>
                <w:rFonts w:eastAsia="Times New Roman" w:cs="Times New Roman"/>
                <w:noProof/>
                <w:sz w:val="20"/>
                <w:szCs w:val="20"/>
                <w:lang w:val="hr"/>
              </w:rPr>
              <w:t xml:space="preserve">046 Potpora subjektima koji dokažu da njihove usluge pridonose niskougljičnom gospodarstvu i otpornosti na klimatske promjene, uključujući </w:t>
            </w:r>
            <w:r>
              <w:rPr>
                <w:rFonts w:eastAsia="Times New Roman" w:cs="Times New Roman"/>
                <w:noProof/>
                <w:sz w:val="20"/>
                <w:szCs w:val="20"/>
                <w:lang w:val="hr"/>
              </w:rPr>
              <w:lastRenderedPageBreak/>
              <w:t>mjere podizanja svijesti.</w:t>
            </w:r>
          </w:p>
        </w:tc>
        <w:tc>
          <w:tcPr>
            <w:tcW w:w="2520" w:type="dxa"/>
          </w:tcPr>
          <w:p w14:paraId="28FB211E" w14:textId="77777777" w:rsidR="00CB4EBF" w:rsidRPr="001C431F" w:rsidRDefault="00CB4EBF" w:rsidP="0054762C">
            <w:pPr>
              <w:rPr>
                <w:rFonts w:eastAsia="Times New Roman" w:cs="Times New Roman"/>
                <w:iCs/>
                <w:noProof/>
                <w:sz w:val="20"/>
                <w:szCs w:val="20"/>
              </w:rPr>
            </w:pPr>
            <w:r>
              <w:rPr>
                <w:rFonts w:eastAsia="Times New Roman" w:cs="Times New Roman"/>
                <w:noProof/>
                <w:sz w:val="20"/>
                <w:szCs w:val="20"/>
                <w:lang w:val="hr"/>
              </w:rPr>
              <w:lastRenderedPageBreak/>
              <w:t>7 200 000,00</w:t>
            </w:r>
          </w:p>
        </w:tc>
      </w:tr>
    </w:tbl>
    <w:p w14:paraId="362CEF8D" w14:textId="77777777" w:rsidR="00CB4EBF" w:rsidRPr="001C431F" w:rsidRDefault="00CB4EBF" w:rsidP="00CB4EBF">
      <w:pPr>
        <w:spacing w:after="0" w:line="240" w:lineRule="auto"/>
        <w:jc w:val="both"/>
        <w:rPr>
          <w:rFonts w:eastAsia="Times New Roman" w:cs="Times New Roman"/>
          <w:iCs/>
          <w:noProof/>
          <w:sz w:val="20"/>
          <w:szCs w:val="20"/>
        </w:rPr>
      </w:pPr>
    </w:p>
    <w:p w14:paraId="74EEB9E7"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noProof/>
          <w:sz w:val="20"/>
          <w:szCs w:val="20"/>
          <w:lang w:val="hr"/>
        </w:rPr>
        <w:t>Tablica 5.: Dimenzija 2. – oblik financiranja</w:t>
      </w:r>
    </w:p>
    <w:tbl>
      <w:tblPr>
        <w:tblStyle w:val="TableGrid"/>
        <w:tblW w:w="0" w:type="auto"/>
        <w:tblLook w:val="04A0" w:firstRow="1" w:lastRow="0" w:firstColumn="1" w:lastColumn="0" w:noHBand="0" w:noVBand="1"/>
      </w:tblPr>
      <w:tblGrid>
        <w:gridCol w:w="1829"/>
        <w:gridCol w:w="1611"/>
        <w:gridCol w:w="1859"/>
        <w:gridCol w:w="1189"/>
        <w:gridCol w:w="2572"/>
      </w:tblGrid>
      <w:tr w:rsidR="00CB4EBF" w:rsidRPr="00A23750" w14:paraId="1EB515C8" w14:textId="77777777" w:rsidTr="0054762C">
        <w:tc>
          <w:tcPr>
            <w:tcW w:w="1870" w:type="dxa"/>
          </w:tcPr>
          <w:p w14:paraId="055ED047"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Prioritet br.</w:t>
            </w:r>
          </w:p>
        </w:tc>
        <w:tc>
          <w:tcPr>
            <w:tcW w:w="1657" w:type="dxa"/>
          </w:tcPr>
          <w:p w14:paraId="2168E2ED"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Fond</w:t>
            </w:r>
          </w:p>
        </w:tc>
        <w:tc>
          <w:tcPr>
            <w:tcW w:w="1898" w:type="dxa"/>
          </w:tcPr>
          <w:p w14:paraId="4FD65B3D"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Specifični cilj</w:t>
            </w:r>
          </w:p>
        </w:tc>
        <w:tc>
          <w:tcPr>
            <w:tcW w:w="1204" w:type="dxa"/>
          </w:tcPr>
          <w:p w14:paraId="6D771564"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 xml:space="preserve">Oznaka </w:t>
            </w:r>
          </w:p>
        </w:tc>
        <w:tc>
          <w:tcPr>
            <w:tcW w:w="2659" w:type="dxa"/>
          </w:tcPr>
          <w:p w14:paraId="0C7C7C31"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Iznos (EUR)</w:t>
            </w:r>
          </w:p>
        </w:tc>
      </w:tr>
    </w:tbl>
    <w:tbl>
      <w:tblPr>
        <w:tblStyle w:val="TableGrid1"/>
        <w:tblW w:w="9062" w:type="dxa"/>
        <w:tblLook w:val="04A0" w:firstRow="1" w:lastRow="0" w:firstColumn="1" w:lastColumn="0" w:noHBand="0" w:noVBand="1"/>
      </w:tblPr>
      <w:tblGrid>
        <w:gridCol w:w="1816"/>
        <w:gridCol w:w="1610"/>
        <w:gridCol w:w="1847"/>
        <w:gridCol w:w="1216"/>
        <w:gridCol w:w="2573"/>
      </w:tblGrid>
      <w:tr w:rsidR="00CB4EBF" w:rsidRPr="00A23750" w14:paraId="5CAFFB17" w14:textId="77777777" w:rsidTr="0054762C">
        <w:tc>
          <w:tcPr>
            <w:tcW w:w="1827" w:type="dxa"/>
          </w:tcPr>
          <w:p w14:paraId="2411530E" w14:textId="77777777" w:rsidR="00CB4EBF" w:rsidRPr="001C431F" w:rsidRDefault="00CB4EBF" w:rsidP="0054762C">
            <w:pPr>
              <w:rPr>
                <w:rFonts w:eastAsia="Times New Roman" w:cs="Times New Roman"/>
                <w:iCs/>
                <w:noProof/>
                <w:sz w:val="20"/>
                <w:szCs w:val="20"/>
              </w:rPr>
            </w:pPr>
            <w:r>
              <w:rPr>
                <w:rFonts w:eastAsia="Times New Roman" w:cs="Times New Roman"/>
                <w:noProof/>
                <w:sz w:val="20"/>
                <w:szCs w:val="20"/>
                <w:lang w:val="hr"/>
              </w:rPr>
              <w:t>2</w:t>
            </w:r>
          </w:p>
        </w:tc>
        <w:tc>
          <w:tcPr>
            <w:tcW w:w="1616" w:type="dxa"/>
          </w:tcPr>
          <w:p w14:paraId="47ABF8CE" w14:textId="77777777" w:rsidR="00CB4EBF" w:rsidRPr="001C431F" w:rsidRDefault="00CB4EBF" w:rsidP="0054762C">
            <w:pPr>
              <w:rPr>
                <w:rFonts w:eastAsia="Times New Roman" w:cs="Times New Roman"/>
                <w:iCs/>
                <w:noProof/>
                <w:sz w:val="20"/>
                <w:szCs w:val="20"/>
              </w:rPr>
            </w:pPr>
            <w:r>
              <w:rPr>
                <w:rFonts w:eastAsia="Times New Roman" w:cs="Times New Roman"/>
                <w:noProof/>
                <w:sz w:val="20"/>
                <w:szCs w:val="20"/>
                <w:lang w:val="hr"/>
              </w:rPr>
              <w:t>EFRR</w:t>
            </w:r>
          </w:p>
        </w:tc>
        <w:tc>
          <w:tcPr>
            <w:tcW w:w="1857" w:type="dxa"/>
          </w:tcPr>
          <w:p w14:paraId="2B74E3EF" w14:textId="77777777" w:rsidR="00CB4EBF" w:rsidRPr="001C431F" w:rsidRDefault="00CB4EBF" w:rsidP="0054762C">
            <w:pPr>
              <w:rPr>
                <w:rFonts w:eastAsia="Times New Roman" w:cs="Times New Roman"/>
                <w:iCs/>
                <w:noProof/>
                <w:sz w:val="20"/>
                <w:szCs w:val="20"/>
              </w:rPr>
            </w:pPr>
            <w:r>
              <w:rPr>
                <w:rFonts w:eastAsia="Times New Roman" w:cs="Times New Roman"/>
                <w:noProof/>
                <w:sz w:val="20"/>
                <w:szCs w:val="20"/>
                <w:lang w:val="hr"/>
              </w:rPr>
              <w:t>SO 2.1</w:t>
            </w:r>
          </w:p>
        </w:tc>
        <w:tc>
          <w:tcPr>
            <w:tcW w:w="1180" w:type="dxa"/>
          </w:tcPr>
          <w:p w14:paraId="3E590D48" w14:textId="77777777" w:rsidR="00CB4EBF" w:rsidRPr="001C431F" w:rsidRDefault="00CB4EBF" w:rsidP="0054762C">
            <w:pPr>
              <w:rPr>
                <w:rFonts w:eastAsia="Times New Roman" w:cs="Times New Roman"/>
                <w:iCs/>
                <w:noProof/>
                <w:sz w:val="20"/>
                <w:szCs w:val="20"/>
              </w:rPr>
            </w:pPr>
            <w:r>
              <w:rPr>
                <w:rFonts w:eastAsia="Times New Roman" w:cs="Times New Roman"/>
                <w:noProof/>
                <w:sz w:val="20"/>
                <w:szCs w:val="20"/>
                <w:lang w:val="hr"/>
              </w:rPr>
              <w:t>01 Bespovratna sredstva</w:t>
            </w:r>
          </w:p>
        </w:tc>
        <w:tc>
          <w:tcPr>
            <w:tcW w:w="2582" w:type="dxa"/>
          </w:tcPr>
          <w:p w14:paraId="795F6B9A" w14:textId="77777777" w:rsidR="00CB4EBF" w:rsidRPr="001C431F" w:rsidRDefault="00CB4EBF" w:rsidP="0054762C">
            <w:pPr>
              <w:rPr>
                <w:rFonts w:cs="Times New Roman"/>
                <w:color w:val="000000"/>
                <w:sz w:val="20"/>
                <w:szCs w:val="20"/>
              </w:rPr>
            </w:pPr>
            <w:r>
              <w:rPr>
                <w:rFonts w:cs="Times New Roman"/>
                <w:color w:val="000000"/>
                <w:sz w:val="20"/>
                <w:szCs w:val="20"/>
                <w:lang w:val="hr"/>
              </w:rPr>
              <w:t>7 200 000,00</w:t>
            </w:r>
          </w:p>
        </w:tc>
      </w:tr>
    </w:tbl>
    <w:p w14:paraId="66407CD7" w14:textId="77777777" w:rsidR="00CB4EBF" w:rsidRPr="001C431F" w:rsidRDefault="00CB4EBF" w:rsidP="00CB4EBF">
      <w:pPr>
        <w:spacing w:after="0" w:line="240" w:lineRule="auto"/>
        <w:jc w:val="both"/>
        <w:rPr>
          <w:rFonts w:eastAsia="Times New Roman" w:cs="Times New Roman"/>
          <w:iCs/>
          <w:noProof/>
          <w:sz w:val="20"/>
          <w:szCs w:val="20"/>
        </w:rPr>
      </w:pPr>
    </w:p>
    <w:p w14:paraId="53023BFD"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noProof/>
          <w:sz w:val="20"/>
          <w:szCs w:val="20"/>
          <w:lang w:val="hr"/>
        </w:rPr>
        <w:t>Tablica 6.: Dimenzija 3. – mehanizam teritorijalne provedbe i teritorijalni fokus</w:t>
      </w:r>
    </w:p>
    <w:tbl>
      <w:tblPr>
        <w:tblStyle w:val="TableGrid"/>
        <w:tblW w:w="0" w:type="auto"/>
        <w:tblLook w:val="04A0" w:firstRow="1" w:lastRow="0" w:firstColumn="1" w:lastColumn="0" w:noHBand="0" w:noVBand="1"/>
      </w:tblPr>
      <w:tblGrid>
        <w:gridCol w:w="1827"/>
        <w:gridCol w:w="1613"/>
        <w:gridCol w:w="1858"/>
        <w:gridCol w:w="1180"/>
        <w:gridCol w:w="2582"/>
      </w:tblGrid>
      <w:tr w:rsidR="00CB4EBF" w:rsidRPr="00A23750" w14:paraId="319792D1" w14:textId="77777777" w:rsidTr="0054762C">
        <w:tc>
          <w:tcPr>
            <w:tcW w:w="1827" w:type="dxa"/>
          </w:tcPr>
          <w:p w14:paraId="17C44ABB"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Prioritet br.</w:t>
            </w:r>
          </w:p>
        </w:tc>
        <w:tc>
          <w:tcPr>
            <w:tcW w:w="1613" w:type="dxa"/>
          </w:tcPr>
          <w:p w14:paraId="60739809"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Fond</w:t>
            </w:r>
          </w:p>
        </w:tc>
        <w:tc>
          <w:tcPr>
            <w:tcW w:w="1858" w:type="dxa"/>
          </w:tcPr>
          <w:p w14:paraId="4D9C82A3"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Specifični cilj</w:t>
            </w:r>
          </w:p>
        </w:tc>
        <w:tc>
          <w:tcPr>
            <w:tcW w:w="1180" w:type="dxa"/>
          </w:tcPr>
          <w:p w14:paraId="084C7A3D"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 xml:space="preserve">Oznaka </w:t>
            </w:r>
          </w:p>
        </w:tc>
        <w:tc>
          <w:tcPr>
            <w:tcW w:w="2582" w:type="dxa"/>
          </w:tcPr>
          <w:p w14:paraId="78FA3386"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Iznos (EUR)</w:t>
            </w:r>
          </w:p>
        </w:tc>
      </w:tr>
    </w:tbl>
    <w:tbl>
      <w:tblPr>
        <w:tblStyle w:val="TableGrid1"/>
        <w:tblW w:w="9062" w:type="dxa"/>
        <w:tblLook w:val="04A0" w:firstRow="1" w:lastRow="0" w:firstColumn="1" w:lastColumn="0" w:noHBand="0" w:noVBand="1"/>
      </w:tblPr>
      <w:tblGrid>
        <w:gridCol w:w="1827"/>
        <w:gridCol w:w="1616"/>
        <w:gridCol w:w="1857"/>
        <w:gridCol w:w="1180"/>
        <w:gridCol w:w="2582"/>
      </w:tblGrid>
      <w:tr w:rsidR="00CB4EBF" w:rsidRPr="00A23750" w14:paraId="2AB09471" w14:textId="77777777" w:rsidTr="0054762C">
        <w:tc>
          <w:tcPr>
            <w:tcW w:w="1827" w:type="dxa"/>
          </w:tcPr>
          <w:p w14:paraId="1EE82E93" w14:textId="77777777" w:rsidR="00CB4EBF" w:rsidRPr="001C431F" w:rsidRDefault="00CB4EBF" w:rsidP="0054762C">
            <w:pPr>
              <w:rPr>
                <w:rFonts w:eastAsia="Times New Roman" w:cs="Times New Roman"/>
                <w:iCs/>
                <w:noProof/>
                <w:sz w:val="20"/>
                <w:szCs w:val="20"/>
              </w:rPr>
            </w:pPr>
            <w:r>
              <w:rPr>
                <w:rFonts w:eastAsia="Times New Roman" w:cs="Times New Roman"/>
                <w:noProof/>
                <w:sz w:val="20"/>
                <w:szCs w:val="20"/>
                <w:lang w:val="hr"/>
              </w:rPr>
              <w:t>2</w:t>
            </w:r>
          </w:p>
        </w:tc>
        <w:tc>
          <w:tcPr>
            <w:tcW w:w="1616" w:type="dxa"/>
          </w:tcPr>
          <w:p w14:paraId="4C4F7E4A" w14:textId="77777777" w:rsidR="00CB4EBF" w:rsidRPr="001C431F" w:rsidRDefault="00CB4EBF" w:rsidP="0054762C">
            <w:pPr>
              <w:rPr>
                <w:rFonts w:eastAsia="Times New Roman" w:cs="Times New Roman"/>
                <w:iCs/>
                <w:noProof/>
                <w:sz w:val="20"/>
                <w:szCs w:val="20"/>
              </w:rPr>
            </w:pPr>
            <w:r>
              <w:rPr>
                <w:rFonts w:eastAsia="Times New Roman" w:cs="Times New Roman"/>
                <w:noProof/>
                <w:sz w:val="20"/>
                <w:szCs w:val="20"/>
                <w:lang w:val="hr"/>
              </w:rPr>
              <w:t>EFRR</w:t>
            </w:r>
          </w:p>
        </w:tc>
        <w:tc>
          <w:tcPr>
            <w:tcW w:w="1857" w:type="dxa"/>
          </w:tcPr>
          <w:p w14:paraId="20ACC243" w14:textId="77777777" w:rsidR="00CB4EBF" w:rsidRPr="001C431F" w:rsidRDefault="00CB4EBF" w:rsidP="0054762C">
            <w:pPr>
              <w:rPr>
                <w:rFonts w:eastAsia="Times New Roman" w:cs="Times New Roman"/>
                <w:iCs/>
                <w:noProof/>
                <w:sz w:val="20"/>
                <w:szCs w:val="20"/>
              </w:rPr>
            </w:pPr>
            <w:r>
              <w:rPr>
                <w:rFonts w:eastAsia="Times New Roman" w:cs="Times New Roman"/>
                <w:noProof/>
                <w:sz w:val="20"/>
                <w:szCs w:val="20"/>
                <w:lang w:val="hr"/>
              </w:rPr>
              <w:t>SO 2.1</w:t>
            </w:r>
          </w:p>
        </w:tc>
        <w:tc>
          <w:tcPr>
            <w:tcW w:w="1180" w:type="dxa"/>
          </w:tcPr>
          <w:p w14:paraId="1EA554F7" w14:textId="77777777" w:rsidR="00CB4EBF" w:rsidRPr="001C431F" w:rsidRDefault="00CB4EBF" w:rsidP="0054762C">
            <w:pPr>
              <w:rPr>
                <w:rFonts w:eastAsia="Times New Roman" w:cs="Times New Roman"/>
                <w:iCs/>
                <w:noProof/>
                <w:sz w:val="20"/>
                <w:szCs w:val="20"/>
              </w:rPr>
            </w:pPr>
            <w:r>
              <w:rPr>
                <w:rFonts w:eastAsia="Times New Roman" w:cs="Times New Roman"/>
                <w:noProof/>
                <w:sz w:val="20"/>
                <w:szCs w:val="20"/>
                <w:lang w:val="hr"/>
              </w:rPr>
              <w:t>33 Bez ciljanog teritorija</w:t>
            </w:r>
          </w:p>
        </w:tc>
        <w:tc>
          <w:tcPr>
            <w:tcW w:w="2582" w:type="dxa"/>
          </w:tcPr>
          <w:p w14:paraId="47B94C4A" w14:textId="77777777" w:rsidR="00CB4EBF" w:rsidRPr="001C431F" w:rsidRDefault="00CB4EBF" w:rsidP="0054762C">
            <w:pPr>
              <w:rPr>
                <w:rFonts w:cs="Times New Roman"/>
                <w:color w:val="000000"/>
                <w:sz w:val="20"/>
                <w:szCs w:val="20"/>
              </w:rPr>
            </w:pPr>
            <w:r>
              <w:rPr>
                <w:rFonts w:cs="Times New Roman"/>
                <w:color w:val="000000"/>
                <w:sz w:val="20"/>
                <w:szCs w:val="20"/>
                <w:lang w:val="hr"/>
              </w:rPr>
              <w:t>7 200 000,00</w:t>
            </w:r>
          </w:p>
        </w:tc>
      </w:tr>
    </w:tbl>
    <w:p w14:paraId="533B798F" w14:textId="77777777" w:rsidR="00CB4EBF" w:rsidRPr="001C431F" w:rsidRDefault="00CB4EBF" w:rsidP="00CB4EBF">
      <w:pPr>
        <w:spacing w:after="0" w:line="240" w:lineRule="auto"/>
        <w:jc w:val="both"/>
        <w:rPr>
          <w:rFonts w:eastAsia="Times New Roman" w:cs="Times New Roman"/>
          <w:b/>
          <w:noProof/>
          <w:color w:val="000000"/>
          <w:sz w:val="20"/>
          <w:szCs w:val="20"/>
        </w:rPr>
      </w:pPr>
    </w:p>
    <w:p w14:paraId="2BB339DE" w14:textId="77777777" w:rsidR="00CB4EBF" w:rsidRPr="001C431F" w:rsidRDefault="00CB4EBF" w:rsidP="00CB4EBF">
      <w:pPr>
        <w:rPr>
          <w:rFonts w:eastAsia="Times New Roman" w:cs="Times New Roman"/>
          <w:b/>
          <w:noProof/>
          <w:color w:val="000000"/>
          <w:sz w:val="20"/>
          <w:szCs w:val="20"/>
        </w:rPr>
      </w:pPr>
      <w:r>
        <w:rPr>
          <w:rFonts w:eastAsia="Times New Roman" w:cs="Times New Roman"/>
          <w:b/>
          <w:bCs/>
          <w:noProof/>
          <w:color w:val="000000"/>
          <w:sz w:val="20"/>
          <w:szCs w:val="20"/>
          <w:lang w:val="hr"/>
        </w:rPr>
        <w:br w:type="page"/>
      </w:r>
    </w:p>
    <w:p w14:paraId="15BFC81A" w14:textId="77777777" w:rsidR="00CB4EBF" w:rsidRPr="001C431F" w:rsidRDefault="00CB4EBF" w:rsidP="00CB4EBF">
      <w:pPr>
        <w:spacing w:after="0" w:line="240" w:lineRule="auto"/>
        <w:jc w:val="both"/>
        <w:rPr>
          <w:rFonts w:eastAsia="Times New Roman" w:cs="Times New Roman"/>
          <w:b/>
          <w:noProof/>
          <w:color w:val="000000"/>
          <w:sz w:val="20"/>
          <w:szCs w:val="20"/>
        </w:rPr>
      </w:pPr>
      <w:r>
        <w:rPr>
          <w:rFonts w:eastAsia="Times New Roman" w:cs="Times New Roman"/>
          <w:b/>
          <w:bCs/>
          <w:noProof/>
          <w:color w:val="000000"/>
          <w:sz w:val="20"/>
          <w:szCs w:val="20"/>
          <w:lang w:val="hr"/>
        </w:rPr>
        <w:lastRenderedPageBreak/>
        <w:t>Prioritet br. 2. Zelenija pogranična regija s niskom razinom emisija ugljika</w:t>
      </w:r>
    </w:p>
    <w:p w14:paraId="796C47BD"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i/>
          <w:iCs/>
          <w:noProof/>
          <w:color w:val="000000"/>
          <w:sz w:val="20"/>
          <w:szCs w:val="20"/>
          <w:lang w:val="hr"/>
        </w:rPr>
        <w:t>Upućivanje: članak 17. stavak 3. točka (d)</w:t>
      </w:r>
    </w:p>
    <w:p w14:paraId="4A0903A3"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p>
    <w:p w14:paraId="56DD664B" w14:textId="77777777" w:rsidR="00CB4EBF" w:rsidRPr="001C431F" w:rsidRDefault="00CB4EBF" w:rsidP="00CB4EBF">
      <w:pPr>
        <w:spacing w:after="0" w:line="240" w:lineRule="auto"/>
        <w:jc w:val="both"/>
        <w:rPr>
          <w:rFonts w:eastAsia="Times New Roman" w:cs="Times New Roman"/>
          <w:b/>
          <w:noProof/>
          <w:color w:val="000000"/>
          <w:sz w:val="20"/>
          <w:szCs w:val="20"/>
        </w:rPr>
      </w:pPr>
      <w:r>
        <w:rPr>
          <w:rFonts w:eastAsia="Times New Roman" w:cs="Times New Roman"/>
          <w:b/>
          <w:bCs/>
          <w:noProof/>
          <w:color w:val="000000"/>
          <w:sz w:val="20"/>
          <w:szCs w:val="20"/>
          <w:lang w:val="hr"/>
        </w:rPr>
        <w:t>iv. Promicanje prilagodbe klimatskim promjenama i sprječavanja rizika od katastrofa te otpornosti, uzimajući u obzir pristupe utemeljene na ekosustavima</w:t>
      </w:r>
    </w:p>
    <w:p w14:paraId="06AA4289"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i/>
          <w:iCs/>
          <w:noProof/>
          <w:color w:val="000000"/>
          <w:sz w:val="20"/>
          <w:szCs w:val="20"/>
          <w:lang w:val="hr"/>
        </w:rPr>
        <w:t>Upućivanje: članak 17. stavak 3. točka (e)</w:t>
      </w:r>
    </w:p>
    <w:p w14:paraId="4CC73BD7"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p>
    <w:p w14:paraId="124F782E" w14:textId="77777777" w:rsidR="00CB4EBF" w:rsidRPr="001C431F" w:rsidRDefault="00CB4EBF" w:rsidP="00CB4EBF">
      <w:pPr>
        <w:spacing w:after="0" w:line="240" w:lineRule="auto"/>
        <w:jc w:val="both"/>
        <w:rPr>
          <w:rFonts w:eastAsia="Times New Roman" w:cs="Times New Roman"/>
          <w:b/>
          <w:noProof/>
          <w:color w:val="000000"/>
          <w:sz w:val="20"/>
          <w:szCs w:val="20"/>
        </w:rPr>
      </w:pPr>
      <w:r>
        <w:rPr>
          <w:rFonts w:eastAsia="Times New Roman" w:cs="Times New Roman"/>
          <w:b/>
          <w:bCs/>
          <w:noProof/>
          <w:color w:val="000000"/>
          <w:sz w:val="20"/>
          <w:szCs w:val="20"/>
          <w:lang w:val="hr"/>
        </w:rPr>
        <w:t>Povezane vrste djelovanja i njihov očekivani doprinos tim specifičnim ciljevima i makroregionalnim strategijama te strategijama morskih bazena, prema potrebi</w:t>
      </w:r>
    </w:p>
    <w:p w14:paraId="0DC244B8"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i/>
          <w:iCs/>
          <w:noProof/>
          <w:color w:val="000000"/>
          <w:sz w:val="20"/>
          <w:szCs w:val="20"/>
          <w:lang w:val="hr"/>
        </w:rPr>
        <w:t>Upućivanje: članak 17. stavak 3. točka (e) podtočka i., članak 17. stavak 9. točka (c) podtočka ii.</w:t>
      </w:r>
    </w:p>
    <w:p w14:paraId="70D30FAC" w14:textId="77777777" w:rsidR="00CB4EBF" w:rsidRPr="001C431F" w:rsidRDefault="00CB4EBF" w:rsidP="00CB4EBF">
      <w:pPr>
        <w:spacing w:after="0"/>
        <w:jc w:val="both"/>
        <w:rPr>
          <w:rFonts w:cs="Times New Roman"/>
          <w:sz w:val="20"/>
          <w:szCs w:val="20"/>
        </w:rPr>
      </w:pPr>
    </w:p>
    <w:p w14:paraId="6C0D289A" w14:textId="77777777" w:rsidR="00CB4EBF" w:rsidRDefault="00CB4EBF" w:rsidP="00CB4EBF">
      <w:pPr>
        <w:spacing w:after="0"/>
        <w:jc w:val="both"/>
        <w:rPr>
          <w:rFonts w:cs="Times New Roman"/>
          <w:sz w:val="20"/>
          <w:szCs w:val="20"/>
        </w:rPr>
      </w:pPr>
      <w:r>
        <w:rPr>
          <w:rFonts w:cs="Times New Roman"/>
          <w:sz w:val="20"/>
          <w:szCs w:val="20"/>
          <w:lang w:val="hr"/>
        </w:rPr>
        <w:t>Očekivani rezultati:</w:t>
      </w:r>
    </w:p>
    <w:p w14:paraId="4FDB842C" w14:textId="77777777" w:rsidR="00CB4EBF" w:rsidRPr="001C431F" w:rsidRDefault="00CB4EBF" w:rsidP="00CB4EBF">
      <w:pPr>
        <w:spacing w:after="0"/>
        <w:jc w:val="both"/>
        <w:rPr>
          <w:rFonts w:cs="Times New Roman"/>
          <w:sz w:val="20"/>
          <w:szCs w:val="20"/>
        </w:rPr>
      </w:pPr>
      <w:r>
        <w:rPr>
          <w:rFonts w:cs="Times New Roman"/>
          <w:sz w:val="20"/>
          <w:szCs w:val="20"/>
          <w:lang w:val="hr"/>
        </w:rPr>
        <w:t xml:space="preserve">Očekuje se da će se projektima koji prime potporu pronaći zajednička rješenja i djelovanja kojima se pridonosi poboljšanju i održavanju biološke raznolikosti u pograničnom području, poboljšanju stanja zelene i plave infrastrukture uključujući povezanost staništa i bolju kvaliteti vodnih tijela u programskom području. </w:t>
      </w:r>
    </w:p>
    <w:p w14:paraId="336A58F0" w14:textId="77777777" w:rsidR="00CB4EBF" w:rsidRDefault="00CB4EBF" w:rsidP="00CB4EBF">
      <w:pPr>
        <w:spacing w:after="0"/>
        <w:jc w:val="both"/>
        <w:rPr>
          <w:rFonts w:cs="Times New Roman"/>
          <w:sz w:val="20"/>
          <w:szCs w:val="20"/>
        </w:rPr>
      </w:pPr>
    </w:p>
    <w:p w14:paraId="11E2B792" w14:textId="77777777" w:rsidR="00CB4EBF" w:rsidRDefault="00CB4EBF" w:rsidP="00CB4EBF">
      <w:pPr>
        <w:spacing w:after="0"/>
        <w:jc w:val="both"/>
        <w:rPr>
          <w:rFonts w:cs="Times New Roman"/>
          <w:sz w:val="20"/>
          <w:szCs w:val="20"/>
        </w:rPr>
      </w:pPr>
      <w:r>
        <w:rPr>
          <w:rFonts w:cs="Times New Roman"/>
          <w:sz w:val="20"/>
          <w:szCs w:val="20"/>
          <w:lang w:val="hr"/>
        </w:rPr>
        <w:t>Unatoč relativno povoljnim ekološkim uvjetima (zbog obilja zaštićenih područja, uključujući i prekogranični rezervat biosfere [</w:t>
      </w:r>
      <w:proofErr w:type="spellStart"/>
      <w:r>
        <w:rPr>
          <w:rFonts w:cs="Times New Roman"/>
          <w:sz w:val="20"/>
          <w:szCs w:val="20"/>
          <w:lang w:val="hr"/>
        </w:rPr>
        <w:t>PRB</w:t>
      </w:r>
      <w:proofErr w:type="spellEnd"/>
      <w:r>
        <w:rPr>
          <w:rFonts w:cs="Times New Roman"/>
          <w:sz w:val="20"/>
          <w:szCs w:val="20"/>
          <w:lang w:val="hr"/>
        </w:rPr>
        <w:t>]) klimatske će promjene vjerojatno značajno utjecati na pograničnu regiju, što može dovesti do povećanja temperature i broja sušnih dana, smanjenja razine podzemnih voda i uzrokovati nagle poplave kao i širenja invazivnih vrsta. To bi moglo imati negativan utjecaj na biološku raznolikost, prirodne ekosustave, kao i na poljoprivredu i zdravlje ljudi.</w:t>
      </w:r>
    </w:p>
    <w:p w14:paraId="41A92159" w14:textId="77777777" w:rsidR="00CB4EBF" w:rsidRDefault="00CB4EBF" w:rsidP="00CB4EBF">
      <w:pPr>
        <w:spacing w:after="0"/>
        <w:jc w:val="both"/>
        <w:rPr>
          <w:rFonts w:cs="Times New Roman"/>
          <w:sz w:val="20"/>
          <w:szCs w:val="20"/>
        </w:rPr>
      </w:pPr>
    </w:p>
    <w:p w14:paraId="10712DD9" w14:textId="77777777" w:rsidR="00CB4EBF" w:rsidRPr="001C431F" w:rsidRDefault="00CB4EBF" w:rsidP="00CB4EBF">
      <w:pPr>
        <w:spacing w:after="0"/>
        <w:jc w:val="both"/>
        <w:rPr>
          <w:rFonts w:cs="Times New Roman"/>
          <w:sz w:val="20"/>
          <w:szCs w:val="20"/>
        </w:rPr>
      </w:pPr>
      <w:r>
        <w:rPr>
          <w:rFonts w:cs="Times New Roman"/>
          <w:sz w:val="20"/>
          <w:szCs w:val="20"/>
          <w:lang w:val="hr"/>
        </w:rPr>
        <w:t>Unatoč činjenici da su prirodna dobra relativno očuvana, potrebno je predvidjeti različite vrste rizika, npr. tri hidroelektrane na gornjem toku rijeke Drave koje mogu uzrokovati i ublažavanje ekstremnih oborina i značajnu nestabilnost vodostaja s negativnim utjecajem na prirodu u donjem toku.</w:t>
      </w:r>
    </w:p>
    <w:p w14:paraId="60F8A17E" w14:textId="77777777" w:rsidR="00CB4EBF" w:rsidRPr="001C431F" w:rsidRDefault="00CB4EBF" w:rsidP="00CB4EBF">
      <w:pPr>
        <w:spacing w:after="0"/>
        <w:jc w:val="both"/>
        <w:rPr>
          <w:rFonts w:cs="Times New Roman"/>
          <w:sz w:val="20"/>
          <w:szCs w:val="20"/>
        </w:rPr>
      </w:pPr>
    </w:p>
    <w:p w14:paraId="3D583970" w14:textId="77777777" w:rsidR="00CB4EBF" w:rsidRPr="001C431F" w:rsidRDefault="00CB4EBF" w:rsidP="00CB4EBF">
      <w:pPr>
        <w:spacing w:after="0"/>
        <w:jc w:val="both"/>
        <w:rPr>
          <w:rFonts w:cs="Times New Roman"/>
          <w:sz w:val="20"/>
          <w:szCs w:val="20"/>
        </w:rPr>
      </w:pPr>
      <w:r>
        <w:rPr>
          <w:rFonts w:cs="Times New Roman"/>
          <w:sz w:val="20"/>
          <w:szCs w:val="20"/>
          <w:lang w:val="hr"/>
        </w:rPr>
        <w:t>Potporu će dobiti projekti za prilagodbu klimatskim promjenama sa sljedećim intervencijskim područjima, među ostalim:</w:t>
      </w:r>
    </w:p>
    <w:p w14:paraId="7CA04F48" w14:textId="77777777" w:rsidR="00CB4EBF" w:rsidRPr="00872C85" w:rsidRDefault="00CB4EBF" w:rsidP="00CB4EBF">
      <w:pPr>
        <w:pStyle w:val="ListParagraph"/>
        <w:numPr>
          <w:ilvl w:val="0"/>
          <w:numId w:val="13"/>
        </w:numPr>
        <w:spacing w:after="0"/>
        <w:jc w:val="both"/>
        <w:rPr>
          <w:rFonts w:cs="Times New Roman"/>
          <w:sz w:val="20"/>
          <w:szCs w:val="20"/>
        </w:rPr>
      </w:pPr>
      <w:r>
        <w:rPr>
          <w:rFonts w:cs="Times New Roman"/>
          <w:sz w:val="20"/>
          <w:szCs w:val="20"/>
          <w:lang w:val="hr"/>
        </w:rPr>
        <w:t xml:space="preserve">Suradnja povezana sa zaštićenim područjima u pogledu korištenju zelenih površina, duž ekoloških koridora, s ciljem poboljšanja povezanosti staništa, uspostavljanjem prekograničnih planova i djelovanja očuvanja, zaštitom ugroženih vrsta i borbom protiv invazivnih vrsta. </w:t>
      </w:r>
    </w:p>
    <w:p w14:paraId="2D0E75F1" w14:textId="77777777" w:rsidR="00CB4EBF" w:rsidRPr="00872C85" w:rsidRDefault="00CB4EBF" w:rsidP="00CB4EBF">
      <w:pPr>
        <w:pStyle w:val="ListParagraph"/>
        <w:numPr>
          <w:ilvl w:val="0"/>
          <w:numId w:val="13"/>
        </w:numPr>
        <w:spacing w:after="0"/>
        <w:jc w:val="both"/>
        <w:rPr>
          <w:rFonts w:cs="Times New Roman"/>
          <w:sz w:val="20"/>
          <w:szCs w:val="20"/>
        </w:rPr>
      </w:pPr>
      <w:r>
        <w:rPr>
          <w:rFonts w:cs="Times New Roman"/>
          <w:sz w:val="20"/>
          <w:szCs w:val="20"/>
          <w:lang w:val="hr"/>
        </w:rPr>
        <w:t>Suradnja u pogledu korištenja plavih površina: poboljšanje stanja vodnih tijela, obnova prirodnih staništa (močvare, riječne okuke), primjena prirodnih rješenja i mjera prirodnog zadržavanja vode, zaštita autohtonih vrsta, kontrola i uklanjanje invazivnih vrsta. Zajednički razvijene akcije za razumijevanje budućih učinaka intervencija za zaštitu od poplava i omogućavanje djelovanja u slučaju katastrofa, kao i provedbe intervencija kojima se smanjuju utjecaji klimatskih promjena.</w:t>
      </w:r>
    </w:p>
    <w:p w14:paraId="1ECF70E6" w14:textId="77777777" w:rsidR="00CB4EBF" w:rsidRPr="00872C85" w:rsidRDefault="00CB4EBF" w:rsidP="00CB4EBF">
      <w:pPr>
        <w:pStyle w:val="ListParagraph"/>
        <w:numPr>
          <w:ilvl w:val="0"/>
          <w:numId w:val="13"/>
        </w:numPr>
        <w:spacing w:after="0"/>
        <w:jc w:val="both"/>
        <w:rPr>
          <w:rFonts w:cs="Times New Roman"/>
          <w:sz w:val="20"/>
          <w:szCs w:val="20"/>
        </w:rPr>
      </w:pPr>
      <w:r>
        <w:rPr>
          <w:rFonts w:cs="Times New Roman"/>
          <w:sz w:val="20"/>
          <w:szCs w:val="20"/>
          <w:lang w:val="hr"/>
        </w:rPr>
        <w:t xml:space="preserve">Podizanje svijesti o utjecaju klimatskih promjena na biološku raznolikost, kvalitetu i količinu vode, stvaranje prilagodljivog okruženja za provedbu praksi korištenja zelenih i plavih površina, kao i promicanje jasnih tehnologija gospodarenja otpadom kojima se potiču inicijative kružnog gospodarstva među lokalnim dionicima. </w:t>
      </w:r>
    </w:p>
    <w:p w14:paraId="172AF2EF" w14:textId="77777777" w:rsidR="00CB4EBF" w:rsidRPr="001C431F" w:rsidRDefault="00CB4EBF" w:rsidP="00CB4EBF">
      <w:pPr>
        <w:spacing w:after="0"/>
        <w:jc w:val="both"/>
        <w:rPr>
          <w:rFonts w:cs="Times New Roman"/>
          <w:sz w:val="20"/>
          <w:szCs w:val="20"/>
        </w:rPr>
      </w:pPr>
    </w:p>
    <w:p w14:paraId="65B68A52" w14:textId="77777777" w:rsidR="00CB4EBF" w:rsidRDefault="00CB4EBF" w:rsidP="00CB4EBF">
      <w:pPr>
        <w:spacing w:after="0"/>
        <w:jc w:val="both"/>
        <w:rPr>
          <w:rFonts w:cs="Times New Roman"/>
          <w:sz w:val="20"/>
          <w:szCs w:val="20"/>
        </w:rPr>
      </w:pPr>
      <w:r>
        <w:rPr>
          <w:rFonts w:cs="Times New Roman"/>
          <w:sz w:val="20"/>
          <w:szCs w:val="20"/>
          <w:lang w:val="hr"/>
        </w:rPr>
        <w:t>Radnje koje se trebaju podržati shemama potpore s otvorenim pozivom, među ostalim:</w:t>
      </w:r>
    </w:p>
    <w:p w14:paraId="26E56147" w14:textId="77777777" w:rsidR="00CB4EBF" w:rsidRPr="00872C85" w:rsidRDefault="00CB4EBF" w:rsidP="00CB4EBF">
      <w:pPr>
        <w:pStyle w:val="ListParagraph"/>
        <w:numPr>
          <w:ilvl w:val="0"/>
          <w:numId w:val="14"/>
        </w:numPr>
        <w:spacing w:after="0"/>
        <w:jc w:val="both"/>
        <w:rPr>
          <w:rFonts w:cs="Times New Roman"/>
          <w:sz w:val="20"/>
          <w:szCs w:val="20"/>
        </w:rPr>
      </w:pPr>
      <w:r>
        <w:rPr>
          <w:rFonts w:cs="Times New Roman"/>
          <w:sz w:val="20"/>
          <w:szCs w:val="20"/>
          <w:lang w:val="hr"/>
        </w:rPr>
        <w:t>Donošenje strategije za razvoj sustava civilne zaštite zbog pojave katastrofa, pandemija i drugih prijetnji zdravlju ljudi, nabava opreme, organizacija zajedničkih terenskih vježbi, edukacija ključnih dionika i edukacija civilnog društva radi podizanja svijesti o tim rizicima.</w:t>
      </w:r>
    </w:p>
    <w:p w14:paraId="48D1B370" w14:textId="77777777" w:rsidR="00CB4EBF" w:rsidRPr="00872C85" w:rsidRDefault="00CB4EBF" w:rsidP="00CB4EBF">
      <w:pPr>
        <w:pStyle w:val="ListParagraph"/>
        <w:numPr>
          <w:ilvl w:val="0"/>
          <w:numId w:val="14"/>
        </w:numPr>
        <w:spacing w:after="0"/>
        <w:jc w:val="both"/>
        <w:rPr>
          <w:rFonts w:cs="Times New Roman"/>
          <w:sz w:val="20"/>
          <w:szCs w:val="20"/>
        </w:rPr>
      </w:pPr>
      <w:r>
        <w:rPr>
          <w:rFonts w:cs="Times New Roman"/>
          <w:sz w:val="20"/>
          <w:szCs w:val="20"/>
          <w:lang w:val="hr"/>
        </w:rPr>
        <w:t>Prekogranične aktivnosti strateškog planiranja, pripremne radnje intervencija obnove (i kao samostalna aktivnost), uključujući ispitivanje ekološkog stanja, istraživanje, praćenje, prikupljanje podataka, procjenu utjecaja na okoliš i plansku dokumentaciju na različitim razinama, npr. zajednički akcijski planovi za održivu energiju i klimu</w:t>
      </w:r>
    </w:p>
    <w:p w14:paraId="2FDDB6F1" w14:textId="77777777" w:rsidR="00CB4EBF" w:rsidRPr="00872C85" w:rsidRDefault="00CB4EBF" w:rsidP="00CB4EBF">
      <w:pPr>
        <w:pStyle w:val="ListParagraph"/>
        <w:numPr>
          <w:ilvl w:val="0"/>
          <w:numId w:val="14"/>
        </w:numPr>
        <w:spacing w:after="0"/>
        <w:jc w:val="both"/>
        <w:rPr>
          <w:rFonts w:cs="Times New Roman"/>
          <w:sz w:val="20"/>
          <w:szCs w:val="20"/>
        </w:rPr>
      </w:pPr>
      <w:r>
        <w:rPr>
          <w:rFonts w:cs="Times New Roman"/>
          <w:sz w:val="20"/>
          <w:szCs w:val="20"/>
          <w:lang w:val="hr"/>
        </w:rPr>
        <w:t>Zajednički prilagođene mjere i pilot-djelovanja usmjerena na prilagodbu i ublažavanje klimatskih promjena uzimajući u obzir ekosustav, na temelju analize rizika i ranjivosti projektnog područja.</w:t>
      </w:r>
    </w:p>
    <w:p w14:paraId="67BFFA90" w14:textId="77777777" w:rsidR="00CB4EBF" w:rsidRPr="00872C85" w:rsidRDefault="00CB4EBF" w:rsidP="00CB4EBF">
      <w:pPr>
        <w:pStyle w:val="ListParagraph"/>
        <w:numPr>
          <w:ilvl w:val="0"/>
          <w:numId w:val="14"/>
        </w:numPr>
        <w:spacing w:after="0"/>
        <w:jc w:val="both"/>
        <w:rPr>
          <w:rFonts w:cs="Times New Roman"/>
          <w:sz w:val="20"/>
          <w:szCs w:val="20"/>
        </w:rPr>
      </w:pPr>
      <w:r>
        <w:rPr>
          <w:rFonts w:cs="Times New Roman"/>
          <w:sz w:val="20"/>
          <w:szCs w:val="20"/>
          <w:lang w:val="hr"/>
        </w:rPr>
        <w:t>Provedba strateških dokumenata i pilot-djelovanja za poboljšanje i razvoj zelene infrastrukture unutar gradova na ciljnom području.</w:t>
      </w:r>
    </w:p>
    <w:p w14:paraId="4AFC5D4C" w14:textId="77777777" w:rsidR="00CB4EBF" w:rsidRPr="00872C85" w:rsidRDefault="00CB4EBF" w:rsidP="00CB4EBF">
      <w:pPr>
        <w:pStyle w:val="ListParagraph"/>
        <w:numPr>
          <w:ilvl w:val="0"/>
          <w:numId w:val="14"/>
        </w:numPr>
        <w:spacing w:after="0"/>
        <w:jc w:val="both"/>
        <w:rPr>
          <w:rFonts w:cs="Times New Roman"/>
          <w:sz w:val="20"/>
          <w:szCs w:val="20"/>
        </w:rPr>
      </w:pPr>
      <w:r>
        <w:rPr>
          <w:rFonts w:cs="Times New Roman"/>
          <w:sz w:val="20"/>
          <w:szCs w:val="20"/>
          <w:lang w:val="hr"/>
        </w:rPr>
        <w:lastRenderedPageBreak/>
        <w:t>Provedba (pilot- ili potpuna) gore navedenih infrastrukturnih zahvata kao zajedničkih prekograničnih djelovanja na obnovi i/ili poboljšanju stanja okoliša.</w:t>
      </w:r>
    </w:p>
    <w:p w14:paraId="4E941788" w14:textId="77777777" w:rsidR="00CB4EBF" w:rsidRPr="00872C85" w:rsidRDefault="00CB4EBF" w:rsidP="00CB4EBF">
      <w:pPr>
        <w:pStyle w:val="ListParagraph"/>
        <w:numPr>
          <w:ilvl w:val="0"/>
          <w:numId w:val="14"/>
        </w:numPr>
        <w:spacing w:after="0"/>
        <w:jc w:val="both"/>
        <w:rPr>
          <w:rFonts w:cs="Times New Roman"/>
          <w:sz w:val="20"/>
          <w:szCs w:val="20"/>
        </w:rPr>
      </w:pPr>
      <w:r>
        <w:rPr>
          <w:rFonts w:cs="Times New Roman"/>
          <w:sz w:val="20"/>
          <w:szCs w:val="20"/>
          <w:lang w:val="hr"/>
        </w:rPr>
        <w:t>Manja ulaganja u infrastrukturu i opremu kako bi se smanjile negativne posljedice klimatskih promjena i promicala otpornost na njih, npr. revitalizacija i izgradnja kišnih vrtova, zelenih površina i parkova.</w:t>
      </w:r>
    </w:p>
    <w:p w14:paraId="22579DF7" w14:textId="77777777" w:rsidR="00CB4EBF" w:rsidRPr="00872C85" w:rsidRDefault="00CB4EBF" w:rsidP="00CB4EBF">
      <w:pPr>
        <w:pStyle w:val="ListParagraph"/>
        <w:numPr>
          <w:ilvl w:val="0"/>
          <w:numId w:val="14"/>
        </w:numPr>
        <w:spacing w:after="0"/>
        <w:jc w:val="both"/>
        <w:rPr>
          <w:rFonts w:cs="Times New Roman"/>
          <w:sz w:val="20"/>
          <w:szCs w:val="20"/>
        </w:rPr>
      </w:pPr>
      <w:r>
        <w:rPr>
          <w:rFonts w:cs="Times New Roman"/>
          <w:sz w:val="20"/>
          <w:szCs w:val="20"/>
          <w:lang w:val="hr"/>
        </w:rPr>
        <w:t xml:space="preserve">Lagana obrazovna djelovanja i djelovanja za podizanje svijesti usmjerene na različite ciljne skupine u programskom području i šire. To može uključivati razvoj pristupačnih promotivnih materijala (u stvarnom životu i na internetu), povećanje vidljivosti prirodnih dobara </w:t>
      </w:r>
      <w:proofErr w:type="spellStart"/>
      <w:r>
        <w:rPr>
          <w:rFonts w:cs="Times New Roman"/>
          <w:sz w:val="20"/>
          <w:szCs w:val="20"/>
          <w:lang w:val="hr"/>
        </w:rPr>
        <w:t>PRB</w:t>
      </w:r>
      <w:proofErr w:type="spellEnd"/>
      <w:r>
        <w:rPr>
          <w:rFonts w:cs="Times New Roman"/>
          <w:sz w:val="20"/>
          <w:szCs w:val="20"/>
          <w:lang w:val="hr"/>
        </w:rPr>
        <w:t xml:space="preserve">-a u partnerskim županijama i šire. Razmjena praksi i iskustava među upravljačkim tijelima različitih dijelova riječnih sustava.  </w:t>
      </w:r>
    </w:p>
    <w:p w14:paraId="1653D33E" w14:textId="77777777" w:rsidR="00CB4EBF" w:rsidRDefault="00CB4EBF" w:rsidP="00CB4EBF">
      <w:pPr>
        <w:spacing w:after="0"/>
        <w:jc w:val="both"/>
        <w:rPr>
          <w:rFonts w:cs="Times New Roman"/>
          <w:sz w:val="20"/>
          <w:szCs w:val="20"/>
        </w:rPr>
      </w:pPr>
    </w:p>
    <w:p w14:paraId="28DBA214" w14:textId="77777777" w:rsidR="00CB4EBF" w:rsidRDefault="00CB4EBF" w:rsidP="00CB4EBF">
      <w:pPr>
        <w:spacing w:after="0"/>
        <w:jc w:val="both"/>
        <w:rPr>
          <w:rFonts w:cs="Times New Roman"/>
          <w:sz w:val="20"/>
          <w:szCs w:val="20"/>
        </w:rPr>
      </w:pPr>
      <w:r>
        <w:rPr>
          <w:rFonts w:cs="Times New Roman"/>
          <w:sz w:val="20"/>
          <w:szCs w:val="20"/>
          <w:lang w:val="hr"/>
        </w:rPr>
        <w:t>Najvažnija načela za kriterije odabira, među ostalim, jesu:</w:t>
      </w:r>
    </w:p>
    <w:p w14:paraId="0CE5A7B8" w14:textId="77777777" w:rsidR="00CB4EBF" w:rsidRPr="00872C85" w:rsidRDefault="00CB4EBF" w:rsidP="00CB4EBF">
      <w:pPr>
        <w:pStyle w:val="ListParagraph"/>
        <w:numPr>
          <w:ilvl w:val="0"/>
          <w:numId w:val="15"/>
        </w:numPr>
        <w:spacing w:after="0"/>
        <w:jc w:val="both"/>
        <w:rPr>
          <w:rFonts w:cs="Times New Roman"/>
          <w:sz w:val="20"/>
          <w:szCs w:val="20"/>
        </w:rPr>
      </w:pPr>
      <w:r>
        <w:rPr>
          <w:rFonts w:cs="Times New Roman"/>
          <w:sz w:val="20"/>
          <w:szCs w:val="20"/>
          <w:lang w:val="hr"/>
        </w:rPr>
        <w:t>složenost intervencija za prilagodbu klimatskim promjenama, međusobna povezanost planiranja/pripremnih radnji s pilot-djelovanjima i fizičkim intervencijama;</w:t>
      </w:r>
    </w:p>
    <w:p w14:paraId="615FF823" w14:textId="77777777" w:rsidR="00CB4EBF" w:rsidRPr="00872C85" w:rsidRDefault="00CB4EBF" w:rsidP="00CB4EBF">
      <w:pPr>
        <w:pStyle w:val="ListParagraph"/>
        <w:numPr>
          <w:ilvl w:val="0"/>
          <w:numId w:val="15"/>
        </w:numPr>
        <w:spacing w:after="0"/>
        <w:jc w:val="both"/>
        <w:rPr>
          <w:rFonts w:cs="Times New Roman"/>
          <w:sz w:val="20"/>
          <w:szCs w:val="20"/>
        </w:rPr>
      </w:pPr>
      <w:r>
        <w:rPr>
          <w:rFonts w:cs="Times New Roman"/>
          <w:sz w:val="20"/>
          <w:szCs w:val="20"/>
          <w:lang w:val="hr"/>
        </w:rPr>
        <w:t>održivost planiranih intervencija;</w:t>
      </w:r>
    </w:p>
    <w:p w14:paraId="39BF3CB1" w14:textId="77777777" w:rsidR="00CB4EBF" w:rsidRPr="00872C85" w:rsidRDefault="00CB4EBF" w:rsidP="00CB4EBF">
      <w:pPr>
        <w:pStyle w:val="ListParagraph"/>
        <w:numPr>
          <w:ilvl w:val="0"/>
          <w:numId w:val="15"/>
        </w:numPr>
        <w:spacing w:after="0"/>
        <w:jc w:val="both"/>
        <w:rPr>
          <w:rFonts w:cs="Times New Roman"/>
          <w:sz w:val="20"/>
          <w:szCs w:val="20"/>
        </w:rPr>
      </w:pPr>
      <w:r>
        <w:rPr>
          <w:rFonts w:cs="Times New Roman"/>
          <w:sz w:val="20"/>
          <w:szCs w:val="20"/>
          <w:lang w:val="hr"/>
        </w:rPr>
        <w:t>naglasak na osjetljiva područja duž granice sa stajališta biološke raznolikosti i usklađenosti s međunarodnim aktima o zaštiti prirode;</w:t>
      </w:r>
    </w:p>
    <w:p w14:paraId="7888344E" w14:textId="77777777" w:rsidR="00CB4EBF" w:rsidRPr="00872C85" w:rsidRDefault="00CB4EBF" w:rsidP="00CB4EBF">
      <w:pPr>
        <w:pStyle w:val="ListParagraph"/>
        <w:numPr>
          <w:ilvl w:val="0"/>
          <w:numId w:val="15"/>
        </w:numPr>
        <w:spacing w:after="0"/>
        <w:jc w:val="both"/>
        <w:rPr>
          <w:rFonts w:cs="Times New Roman"/>
          <w:sz w:val="20"/>
          <w:szCs w:val="20"/>
        </w:rPr>
      </w:pPr>
      <w:r>
        <w:rPr>
          <w:rFonts w:cs="Times New Roman"/>
          <w:sz w:val="20"/>
          <w:szCs w:val="20"/>
          <w:lang w:val="hr"/>
        </w:rPr>
        <w:t>isplativost intervencija;</w:t>
      </w:r>
    </w:p>
    <w:p w14:paraId="1C4B84A8" w14:textId="77777777" w:rsidR="00CB4EBF" w:rsidRPr="00872C85" w:rsidRDefault="00CB4EBF" w:rsidP="00CB4EBF">
      <w:pPr>
        <w:pStyle w:val="ListParagraph"/>
        <w:numPr>
          <w:ilvl w:val="0"/>
          <w:numId w:val="15"/>
        </w:numPr>
        <w:spacing w:after="0"/>
        <w:jc w:val="both"/>
        <w:rPr>
          <w:rFonts w:cs="Times New Roman"/>
          <w:sz w:val="20"/>
          <w:szCs w:val="20"/>
        </w:rPr>
      </w:pPr>
      <w:r>
        <w:rPr>
          <w:rFonts w:cs="Times New Roman"/>
          <w:sz w:val="20"/>
          <w:szCs w:val="20"/>
          <w:lang w:val="hr"/>
        </w:rPr>
        <w:t xml:space="preserve">djelotvornost podizanja svijesti i intervencija u ponašanju. </w:t>
      </w:r>
    </w:p>
    <w:p w14:paraId="182CDF4D" w14:textId="77777777" w:rsidR="00CB4EBF" w:rsidRPr="001C431F" w:rsidRDefault="00CB4EBF" w:rsidP="00CB4EBF">
      <w:pPr>
        <w:spacing w:after="0"/>
        <w:jc w:val="both"/>
        <w:rPr>
          <w:rFonts w:cs="Times New Roman"/>
          <w:sz w:val="20"/>
          <w:szCs w:val="20"/>
        </w:rPr>
      </w:pPr>
    </w:p>
    <w:p w14:paraId="0C7F3E47"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r>
        <w:rPr>
          <w:rFonts w:eastAsia="Times New Roman" w:cs="Times New Roman"/>
          <w:b/>
          <w:bCs/>
          <w:noProof/>
          <w:sz w:val="20"/>
          <w:szCs w:val="20"/>
          <w:lang w:val="hr"/>
        </w:rPr>
        <w:t>Pokazatelji</w:t>
      </w:r>
    </w:p>
    <w:p w14:paraId="0884F134"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i/>
          <w:iCs/>
          <w:noProof/>
          <w:color w:val="000000"/>
          <w:sz w:val="20"/>
          <w:szCs w:val="20"/>
          <w:lang w:val="hr"/>
        </w:rPr>
        <w:t>Upućivanje: članak 17. stavak 3. točka (e) podtočka ii., članak 17. stavak 9. točka (c) podtočka iii.</w:t>
      </w:r>
    </w:p>
    <w:p w14:paraId="6F260F56" w14:textId="77777777" w:rsidR="00CB4EBF" w:rsidRPr="001C431F" w:rsidRDefault="00CB4EBF" w:rsidP="00CB4EBF">
      <w:pPr>
        <w:keepNext/>
        <w:spacing w:after="0" w:line="240" w:lineRule="auto"/>
        <w:rPr>
          <w:rFonts w:eastAsia="Times New Roman" w:cs="Times New Roman"/>
          <w:iCs/>
          <w:sz w:val="20"/>
          <w:szCs w:val="20"/>
        </w:rPr>
      </w:pPr>
      <w:r>
        <w:rPr>
          <w:rFonts w:eastAsia="Times New Roman" w:cs="Times New Roman"/>
          <w:sz w:val="20"/>
          <w:szCs w:val="20"/>
          <w:lang w:val="hr"/>
        </w:rPr>
        <w:t>Tablica 2.: Pokazatelji ostvarenja</w:t>
      </w:r>
    </w:p>
    <w:tbl>
      <w:tblPr>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1050"/>
        <w:gridCol w:w="883"/>
        <w:gridCol w:w="2420"/>
        <w:gridCol w:w="1333"/>
        <w:gridCol w:w="1225"/>
        <w:gridCol w:w="1468"/>
      </w:tblGrid>
      <w:tr w:rsidR="00CB4EBF" w:rsidRPr="00A23750" w14:paraId="3FFEB5A7" w14:textId="77777777" w:rsidTr="0054762C">
        <w:trPr>
          <w:trHeight w:val="836"/>
        </w:trPr>
        <w:tc>
          <w:tcPr>
            <w:tcW w:w="479" w:type="pct"/>
          </w:tcPr>
          <w:p w14:paraId="22273FF8" w14:textId="77777777" w:rsidR="00CB4EBF" w:rsidRPr="001C431F" w:rsidRDefault="00CB4EBF" w:rsidP="0054762C">
            <w:pPr>
              <w:keepNext/>
              <w:spacing w:after="0" w:line="240" w:lineRule="auto"/>
              <w:jc w:val="both"/>
              <w:rPr>
                <w:rFonts w:cs="Times New Roman"/>
                <w:b/>
                <w:sz w:val="20"/>
                <w:szCs w:val="20"/>
              </w:rPr>
            </w:pPr>
            <w:r>
              <w:rPr>
                <w:rFonts w:cs="Times New Roman"/>
                <w:b/>
                <w:bCs/>
                <w:sz w:val="20"/>
                <w:szCs w:val="20"/>
                <w:lang w:val="hr"/>
              </w:rPr>
              <w:t xml:space="preserve">Prioritet </w:t>
            </w:r>
          </w:p>
        </w:tc>
        <w:tc>
          <w:tcPr>
            <w:tcW w:w="527" w:type="pct"/>
          </w:tcPr>
          <w:p w14:paraId="56CDCBF5" w14:textId="77777777" w:rsidR="00CB4EBF" w:rsidRPr="001C431F" w:rsidRDefault="00CB4EBF" w:rsidP="0054762C">
            <w:pPr>
              <w:keepNext/>
              <w:spacing w:after="0" w:line="240" w:lineRule="auto"/>
              <w:jc w:val="both"/>
              <w:rPr>
                <w:rFonts w:cs="Times New Roman"/>
                <w:b/>
                <w:sz w:val="20"/>
                <w:szCs w:val="20"/>
              </w:rPr>
            </w:pPr>
            <w:r>
              <w:rPr>
                <w:rFonts w:cs="Times New Roman"/>
                <w:b/>
                <w:bCs/>
                <w:sz w:val="20"/>
                <w:szCs w:val="20"/>
                <w:lang w:val="hr"/>
              </w:rPr>
              <w:t>Specifični cilj</w:t>
            </w:r>
          </w:p>
        </w:tc>
        <w:tc>
          <w:tcPr>
            <w:tcW w:w="409" w:type="pct"/>
          </w:tcPr>
          <w:p w14:paraId="30165F0E" w14:textId="77777777" w:rsidR="00CB4EBF" w:rsidRPr="001C431F" w:rsidRDefault="00CB4EBF" w:rsidP="0054762C">
            <w:pPr>
              <w:keepNext/>
              <w:spacing w:after="0" w:line="240" w:lineRule="auto"/>
              <w:jc w:val="both"/>
              <w:rPr>
                <w:rFonts w:cs="Times New Roman"/>
                <w:b/>
                <w:sz w:val="20"/>
                <w:szCs w:val="20"/>
              </w:rPr>
            </w:pPr>
            <w:r>
              <w:rPr>
                <w:rFonts w:cs="Times New Roman"/>
                <w:b/>
                <w:bCs/>
                <w:sz w:val="20"/>
                <w:szCs w:val="20"/>
                <w:lang w:val="hr"/>
              </w:rPr>
              <w:t>Oznaka</w:t>
            </w:r>
          </w:p>
          <w:p w14:paraId="654968E3" w14:textId="77777777" w:rsidR="00CB4EBF" w:rsidRPr="001C431F" w:rsidRDefault="00CB4EBF" w:rsidP="0054762C">
            <w:pPr>
              <w:keepNext/>
              <w:spacing w:after="0" w:line="240" w:lineRule="auto"/>
              <w:jc w:val="both"/>
              <w:rPr>
                <w:rFonts w:cs="Times New Roman"/>
                <w:b/>
                <w:sz w:val="20"/>
                <w:szCs w:val="20"/>
              </w:rPr>
            </w:pPr>
            <w:r>
              <w:rPr>
                <w:rFonts w:cs="Times New Roman"/>
                <w:b/>
                <w:bCs/>
                <w:sz w:val="20"/>
                <w:szCs w:val="20"/>
                <w:lang w:val="hr"/>
              </w:rPr>
              <w:t>[5]</w:t>
            </w:r>
          </w:p>
        </w:tc>
        <w:tc>
          <w:tcPr>
            <w:tcW w:w="1330" w:type="pct"/>
            <w:shd w:val="clear" w:color="auto" w:fill="auto"/>
          </w:tcPr>
          <w:p w14:paraId="4C49AD46" w14:textId="77777777" w:rsidR="00CB4EBF" w:rsidRPr="001C431F" w:rsidRDefault="00CB4EBF" w:rsidP="0054762C">
            <w:pPr>
              <w:keepNext/>
              <w:spacing w:after="0" w:line="240" w:lineRule="auto"/>
              <w:jc w:val="both"/>
              <w:rPr>
                <w:rFonts w:cs="Times New Roman"/>
                <w:b/>
                <w:sz w:val="20"/>
                <w:szCs w:val="20"/>
              </w:rPr>
            </w:pPr>
            <w:r>
              <w:rPr>
                <w:rFonts w:cs="Times New Roman"/>
                <w:b/>
                <w:bCs/>
                <w:sz w:val="20"/>
                <w:szCs w:val="20"/>
                <w:lang w:val="hr"/>
              </w:rPr>
              <w:t xml:space="preserve">Pokazatelj </w:t>
            </w:r>
          </w:p>
        </w:tc>
        <w:tc>
          <w:tcPr>
            <w:tcW w:w="747" w:type="pct"/>
          </w:tcPr>
          <w:p w14:paraId="418923FB" w14:textId="77777777" w:rsidR="00CB4EBF" w:rsidRPr="001C431F" w:rsidRDefault="00CB4EBF" w:rsidP="0054762C">
            <w:pPr>
              <w:keepNext/>
              <w:spacing w:after="0" w:line="240" w:lineRule="auto"/>
              <w:jc w:val="both"/>
              <w:rPr>
                <w:rFonts w:cs="Times New Roman"/>
                <w:b/>
                <w:sz w:val="20"/>
                <w:szCs w:val="20"/>
              </w:rPr>
            </w:pPr>
            <w:r>
              <w:rPr>
                <w:rFonts w:cs="Times New Roman"/>
                <w:b/>
                <w:bCs/>
                <w:sz w:val="20"/>
                <w:szCs w:val="20"/>
                <w:lang w:val="hr"/>
              </w:rPr>
              <w:t>Mjerna jedinica</w:t>
            </w:r>
          </w:p>
          <w:p w14:paraId="45362DF3" w14:textId="77777777" w:rsidR="00CB4EBF" w:rsidRPr="001C431F" w:rsidRDefault="00CB4EBF" w:rsidP="0054762C">
            <w:pPr>
              <w:keepNext/>
              <w:spacing w:after="0" w:line="240" w:lineRule="auto"/>
              <w:jc w:val="both"/>
              <w:rPr>
                <w:rFonts w:cs="Times New Roman"/>
                <w:b/>
                <w:sz w:val="20"/>
                <w:szCs w:val="20"/>
              </w:rPr>
            </w:pPr>
            <w:r>
              <w:rPr>
                <w:rFonts w:cs="Times New Roman"/>
                <w:b/>
                <w:bCs/>
                <w:sz w:val="20"/>
                <w:szCs w:val="20"/>
                <w:lang w:val="hr"/>
              </w:rPr>
              <w:t>[255]</w:t>
            </w:r>
          </w:p>
        </w:tc>
        <w:tc>
          <w:tcPr>
            <w:tcW w:w="689" w:type="pct"/>
            <w:shd w:val="clear" w:color="auto" w:fill="auto"/>
          </w:tcPr>
          <w:p w14:paraId="4A8D8DFB" w14:textId="77777777" w:rsidR="00CB4EBF" w:rsidRPr="001C431F" w:rsidRDefault="00CB4EBF" w:rsidP="0054762C">
            <w:pPr>
              <w:keepNext/>
              <w:spacing w:after="0" w:line="240" w:lineRule="auto"/>
              <w:jc w:val="both"/>
              <w:rPr>
                <w:rFonts w:cs="Times New Roman"/>
                <w:b/>
                <w:sz w:val="20"/>
                <w:szCs w:val="20"/>
              </w:rPr>
            </w:pPr>
            <w:r>
              <w:rPr>
                <w:rFonts w:cs="Times New Roman"/>
                <w:b/>
                <w:bCs/>
                <w:sz w:val="20"/>
                <w:szCs w:val="20"/>
                <w:lang w:val="hr"/>
              </w:rPr>
              <w:t>Ključna etapa (2024.)</w:t>
            </w:r>
          </w:p>
          <w:p w14:paraId="338CB3B2" w14:textId="77777777" w:rsidR="00CB4EBF" w:rsidRPr="001C431F" w:rsidRDefault="00CB4EBF" w:rsidP="0054762C">
            <w:pPr>
              <w:keepNext/>
              <w:spacing w:after="0" w:line="240" w:lineRule="auto"/>
              <w:jc w:val="both"/>
              <w:rPr>
                <w:rFonts w:cs="Times New Roman"/>
                <w:b/>
                <w:sz w:val="20"/>
                <w:szCs w:val="20"/>
              </w:rPr>
            </w:pPr>
            <w:r>
              <w:rPr>
                <w:rFonts w:cs="Times New Roman"/>
                <w:b/>
                <w:bCs/>
                <w:sz w:val="20"/>
                <w:szCs w:val="20"/>
                <w:lang w:val="hr"/>
              </w:rPr>
              <w:t>[200]</w:t>
            </w:r>
          </w:p>
        </w:tc>
        <w:tc>
          <w:tcPr>
            <w:tcW w:w="819" w:type="pct"/>
            <w:shd w:val="clear" w:color="auto" w:fill="auto"/>
          </w:tcPr>
          <w:p w14:paraId="37D68184" w14:textId="77777777" w:rsidR="00CB4EBF" w:rsidRPr="001C431F" w:rsidRDefault="00CB4EBF" w:rsidP="0054762C">
            <w:pPr>
              <w:keepNext/>
              <w:spacing w:after="0" w:line="240" w:lineRule="auto"/>
              <w:jc w:val="both"/>
              <w:rPr>
                <w:rFonts w:cs="Times New Roman"/>
                <w:b/>
                <w:sz w:val="20"/>
                <w:szCs w:val="20"/>
              </w:rPr>
            </w:pPr>
            <w:r>
              <w:rPr>
                <w:rFonts w:cs="Times New Roman"/>
                <w:b/>
                <w:bCs/>
                <w:sz w:val="20"/>
                <w:szCs w:val="20"/>
                <w:lang w:val="hr"/>
              </w:rPr>
              <w:t>Konačna ciljna vrijednost (2029.)</w:t>
            </w:r>
          </w:p>
          <w:p w14:paraId="3B33743A" w14:textId="77777777" w:rsidR="00CB4EBF" w:rsidRPr="001C431F" w:rsidRDefault="00CB4EBF" w:rsidP="0054762C">
            <w:pPr>
              <w:keepNext/>
              <w:spacing w:after="0" w:line="240" w:lineRule="auto"/>
              <w:jc w:val="both"/>
              <w:rPr>
                <w:rFonts w:cs="Times New Roman"/>
                <w:b/>
                <w:sz w:val="20"/>
                <w:szCs w:val="20"/>
              </w:rPr>
            </w:pPr>
            <w:r>
              <w:rPr>
                <w:rFonts w:cs="Times New Roman"/>
                <w:b/>
                <w:bCs/>
                <w:sz w:val="20"/>
                <w:szCs w:val="20"/>
                <w:lang w:val="hr"/>
              </w:rPr>
              <w:t>[200]</w:t>
            </w:r>
          </w:p>
        </w:tc>
      </w:tr>
      <w:tr w:rsidR="00CB4EBF" w:rsidRPr="00A23750" w14:paraId="34B6D581" w14:textId="77777777" w:rsidTr="0054762C">
        <w:trPr>
          <w:trHeight w:val="579"/>
        </w:trPr>
        <w:tc>
          <w:tcPr>
            <w:tcW w:w="479" w:type="pct"/>
          </w:tcPr>
          <w:p w14:paraId="298BA6AE" w14:textId="77777777" w:rsidR="00CB4EBF" w:rsidRPr="001C431F" w:rsidRDefault="00CB4EBF" w:rsidP="0054762C">
            <w:pPr>
              <w:keepNext/>
              <w:spacing w:after="0" w:line="240" w:lineRule="auto"/>
              <w:jc w:val="center"/>
              <w:rPr>
                <w:rFonts w:cs="Times New Roman"/>
                <w:bCs/>
                <w:iCs/>
                <w:sz w:val="20"/>
                <w:szCs w:val="20"/>
              </w:rPr>
            </w:pPr>
            <w:r>
              <w:rPr>
                <w:rFonts w:cs="Times New Roman"/>
                <w:sz w:val="20"/>
                <w:szCs w:val="20"/>
                <w:lang w:val="hr"/>
              </w:rPr>
              <w:t>2</w:t>
            </w:r>
          </w:p>
        </w:tc>
        <w:tc>
          <w:tcPr>
            <w:tcW w:w="527" w:type="pct"/>
          </w:tcPr>
          <w:p w14:paraId="6D8620F9" w14:textId="77777777" w:rsidR="00CB4EBF" w:rsidRPr="001C431F" w:rsidRDefault="00CB4EBF" w:rsidP="0054762C">
            <w:pPr>
              <w:keepNext/>
              <w:spacing w:after="0" w:line="240" w:lineRule="auto"/>
              <w:jc w:val="both"/>
              <w:rPr>
                <w:rFonts w:cs="Times New Roman"/>
                <w:bCs/>
                <w:iCs/>
                <w:sz w:val="20"/>
                <w:szCs w:val="20"/>
              </w:rPr>
            </w:pPr>
            <w:r>
              <w:rPr>
                <w:rFonts w:eastAsia="Times New Roman" w:cs="Times New Roman"/>
                <w:noProof/>
                <w:sz w:val="20"/>
                <w:szCs w:val="20"/>
                <w:lang w:val="hr"/>
              </w:rPr>
              <w:t>SO 2.4</w:t>
            </w:r>
          </w:p>
        </w:tc>
        <w:tc>
          <w:tcPr>
            <w:tcW w:w="409" w:type="pct"/>
          </w:tcPr>
          <w:p w14:paraId="4DABE066" w14:textId="77777777" w:rsidR="00CB4EBF" w:rsidRPr="001C431F" w:rsidRDefault="00CB4EBF" w:rsidP="0054762C">
            <w:pPr>
              <w:keepNext/>
              <w:spacing w:after="0" w:line="240" w:lineRule="auto"/>
              <w:jc w:val="both"/>
              <w:rPr>
                <w:rFonts w:cs="Times New Roman"/>
                <w:bCs/>
                <w:iCs/>
                <w:sz w:val="20"/>
                <w:szCs w:val="20"/>
              </w:rPr>
            </w:pPr>
            <w:proofErr w:type="spellStart"/>
            <w:r>
              <w:rPr>
                <w:rFonts w:cs="Times New Roman"/>
                <w:sz w:val="20"/>
                <w:szCs w:val="20"/>
                <w:lang w:val="hr"/>
              </w:rPr>
              <w:t>RCO</w:t>
            </w:r>
            <w:proofErr w:type="spellEnd"/>
            <w:r>
              <w:rPr>
                <w:rFonts w:cs="Times New Roman"/>
                <w:sz w:val="20"/>
                <w:szCs w:val="20"/>
                <w:lang w:val="hr"/>
              </w:rPr>
              <w:t xml:space="preserve"> 116</w:t>
            </w:r>
          </w:p>
        </w:tc>
        <w:tc>
          <w:tcPr>
            <w:tcW w:w="1330" w:type="pct"/>
            <w:shd w:val="clear" w:color="auto" w:fill="auto"/>
          </w:tcPr>
          <w:p w14:paraId="55CC9147" w14:textId="77777777" w:rsidR="00CB4EBF" w:rsidRPr="001C431F" w:rsidRDefault="00CB4EBF" w:rsidP="0054762C">
            <w:pPr>
              <w:keepNext/>
              <w:spacing w:after="0" w:line="240" w:lineRule="auto"/>
              <w:jc w:val="both"/>
              <w:rPr>
                <w:rFonts w:cs="Times New Roman"/>
                <w:bCs/>
                <w:iCs/>
                <w:sz w:val="20"/>
                <w:szCs w:val="20"/>
              </w:rPr>
            </w:pPr>
            <w:r>
              <w:rPr>
                <w:rFonts w:cs="Times New Roman"/>
                <w:sz w:val="20"/>
                <w:szCs w:val="20"/>
                <w:lang w:val="hr"/>
              </w:rPr>
              <w:t>Zajednički izrađena rješenja</w:t>
            </w:r>
          </w:p>
        </w:tc>
        <w:tc>
          <w:tcPr>
            <w:tcW w:w="747" w:type="pct"/>
          </w:tcPr>
          <w:p w14:paraId="23EE4409" w14:textId="77777777" w:rsidR="00CB4EBF" w:rsidRPr="001C431F" w:rsidRDefault="00CB4EBF" w:rsidP="0054762C">
            <w:pPr>
              <w:keepNext/>
              <w:spacing w:after="0" w:line="240" w:lineRule="auto"/>
              <w:rPr>
                <w:rFonts w:cs="Times New Roman"/>
                <w:bCs/>
                <w:iCs/>
                <w:sz w:val="20"/>
                <w:szCs w:val="20"/>
              </w:rPr>
            </w:pPr>
            <w:r>
              <w:rPr>
                <w:rFonts w:cs="Times New Roman"/>
                <w:sz w:val="20"/>
                <w:szCs w:val="20"/>
                <w:lang w:val="hr"/>
              </w:rPr>
              <w:t xml:space="preserve">rješenja </w:t>
            </w:r>
          </w:p>
        </w:tc>
        <w:tc>
          <w:tcPr>
            <w:tcW w:w="689" w:type="pct"/>
            <w:shd w:val="clear" w:color="auto" w:fill="auto"/>
          </w:tcPr>
          <w:p w14:paraId="06B4CEB0" w14:textId="77777777" w:rsidR="00CB4EBF" w:rsidRPr="001C431F" w:rsidRDefault="00CB4EBF" w:rsidP="0054762C">
            <w:pPr>
              <w:keepNext/>
              <w:spacing w:after="0" w:line="240" w:lineRule="auto"/>
              <w:jc w:val="center"/>
              <w:rPr>
                <w:rFonts w:cs="Times New Roman"/>
                <w:bCs/>
                <w:iCs/>
                <w:sz w:val="20"/>
                <w:szCs w:val="20"/>
              </w:rPr>
            </w:pPr>
            <w:r>
              <w:rPr>
                <w:rFonts w:cs="Times New Roman"/>
                <w:sz w:val="20"/>
                <w:szCs w:val="20"/>
                <w:lang w:val="hr"/>
              </w:rPr>
              <w:t>0</w:t>
            </w:r>
          </w:p>
        </w:tc>
        <w:tc>
          <w:tcPr>
            <w:tcW w:w="819" w:type="pct"/>
            <w:shd w:val="clear" w:color="auto" w:fill="auto"/>
          </w:tcPr>
          <w:p w14:paraId="6169D901" w14:textId="77777777" w:rsidR="00CB4EBF" w:rsidRPr="001C431F" w:rsidRDefault="00CB4EBF" w:rsidP="0054762C">
            <w:pPr>
              <w:keepNext/>
              <w:spacing w:after="0" w:line="240" w:lineRule="auto"/>
              <w:jc w:val="center"/>
              <w:rPr>
                <w:rFonts w:cs="Times New Roman"/>
                <w:bCs/>
                <w:iCs/>
                <w:sz w:val="20"/>
                <w:szCs w:val="20"/>
              </w:rPr>
            </w:pPr>
            <w:r>
              <w:rPr>
                <w:rFonts w:cs="Times New Roman"/>
                <w:sz w:val="20"/>
                <w:szCs w:val="20"/>
                <w:lang w:val="hr"/>
              </w:rPr>
              <w:t>10</w:t>
            </w:r>
          </w:p>
        </w:tc>
      </w:tr>
      <w:tr w:rsidR="00CB4EBF" w:rsidRPr="00A23750" w14:paraId="17050B91" w14:textId="77777777" w:rsidTr="0054762C">
        <w:trPr>
          <w:trHeight w:val="579"/>
        </w:trPr>
        <w:tc>
          <w:tcPr>
            <w:tcW w:w="479" w:type="pct"/>
          </w:tcPr>
          <w:p w14:paraId="65297D0B" w14:textId="77777777" w:rsidR="00CB4EBF" w:rsidRPr="001C431F" w:rsidRDefault="00CB4EBF" w:rsidP="0054762C">
            <w:pPr>
              <w:keepNext/>
              <w:spacing w:after="0" w:line="240" w:lineRule="auto"/>
              <w:jc w:val="center"/>
              <w:rPr>
                <w:rFonts w:cs="Times New Roman"/>
                <w:bCs/>
                <w:iCs/>
                <w:sz w:val="20"/>
                <w:szCs w:val="20"/>
              </w:rPr>
            </w:pPr>
            <w:r>
              <w:rPr>
                <w:rFonts w:cs="Times New Roman"/>
                <w:sz w:val="20"/>
                <w:szCs w:val="20"/>
                <w:lang w:val="hr"/>
              </w:rPr>
              <w:t>2</w:t>
            </w:r>
          </w:p>
        </w:tc>
        <w:tc>
          <w:tcPr>
            <w:tcW w:w="527" w:type="pct"/>
          </w:tcPr>
          <w:p w14:paraId="03AEFE45" w14:textId="77777777" w:rsidR="00CB4EBF" w:rsidRDefault="00CB4EBF" w:rsidP="0054762C">
            <w:pPr>
              <w:keepNext/>
              <w:spacing w:after="0" w:line="240" w:lineRule="auto"/>
              <w:jc w:val="both"/>
              <w:rPr>
                <w:rFonts w:cs="Times New Roman"/>
                <w:bCs/>
                <w:iCs/>
                <w:sz w:val="20"/>
                <w:szCs w:val="20"/>
              </w:rPr>
            </w:pPr>
            <w:r>
              <w:rPr>
                <w:rFonts w:eastAsia="Times New Roman" w:cs="Times New Roman"/>
                <w:noProof/>
                <w:sz w:val="20"/>
                <w:szCs w:val="20"/>
                <w:lang w:val="hr"/>
              </w:rPr>
              <w:t>SO 2.4</w:t>
            </w:r>
          </w:p>
        </w:tc>
        <w:tc>
          <w:tcPr>
            <w:tcW w:w="409" w:type="pct"/>
          </w:tcPr>
          <w:p w14:paraId="6B5D466D" w14:textId="77777777" w:rsidR="00CB4EBF" w:rsidRPr="001C431F" w:rsidRDefault="00CB4EBF" w:rsidP="0054762C">
            <w:pPr>
              <w:keepNext/>
              <w:spacing w:after="0" w:line="240" w:lineRule="auto"/>
              <w:jc w:val="both"/>
              <w:rPr>
                <w:rFonts w:cs="Times New Roman"/>
                <w:bCs/>
                <w:iCs/>
                <w:sz w:val="20"/>
                <w:szCs w:val="20"/>
              </w:rPr>
            </w:pPr>
            <w:proofErr w:type="spellStart"/>
            <w:r>
              <w:rPr>
                <w:rFonts w:cs="Times New Roman"/>
                <w:sz w:val="20"/>
                <w:szCs w:val="20"/>
                <w:lang w:val="hr"/>
              </w:rPr>
              <w:t>RCO</w:t>
            </w:r>
            <w:proofErr w:type="spellEnd"/>
            <w:r>
              <w:rPr>
                <w:rFonts w:cs="Times New Roman"/>
                <w:sz w:val="20"/>
                <w:szCs w:val="20"/>
                <w:lang w:val="hr"/>
              </w:rPr>
              <w:t xml:space="preserve"> 87</w:t>
            </w:r>
          </w:p>
        </w:tc>
        <w:tc>
          <w:tcPr>
            <w:tcW w:w="1330" w:type="pct"/>
            <w:shd w:val="clear" w:color="auto" w:fill="auto"/>
          </w:tcPr>
          <w:p w14:paraId="7463A7A0" w14:textId="77777777" w:rsidR="00CB4EBF" w:rsidRPr="001C431F" w:rsidRDefault="00CB4EBF" w:rsidP="0054762C">
            <w:pPr>
              <w:keepNext/>
              <w:spacing w:after="0" w:line="240" w:lineRule="auto"/>
              <w:rPr>
                <w:rFonts w:cs="Times New Roman"/>
                <w:bCs/>
                <w:iCs/>
                <w:sz w:val="20"/>
                <w:szCs w:val="20"/>
              </w:rPr>
            </w:pPr>
            <w:r>
              <w:rPr>
                <w:rFonts w:cs="Times New Roman"/>
                <w:sz w:val="20"/>
                <w:szCs w:val="20"/>
                <w:lang w:val="hr"/>
              </w:rPr>
              <w:t>Organizacije koje surađuju preko granica</w:t>
            </w:r>
          </w:p>
        </w:tc>
        <w:tc>
          <w:tcPr>
            <w:tcW w:w="747" w:type="pct"/>
          </w:tcPr>
          <w:p w14:paraId="2E2291D9" w14:textId="77777777" w:rsidR="00CB4EBF" w:rsidRPr="001C431F" w:rsidRDefault="00CB4EBF" w:rsidP="0054762C">
            <w:pPr>
              <w:keepNext/>
              <w:spacing w:after="0" w:line="240" w:lineRule="auto"/>
              <w:rPr>
                <w:rFonts w:cs="Times New Roman"/>
                <w:bCs/>
                <w:iCs/>
                <w:sz w:val="20"/>
                <w:szCs w:val="20"/>
              </w:rPr>
            </w:pPr>
            <w:r>
              <w:rPr>
                <w:rFonts w:cs="Times New Roman"/>
                <w:sz w:val="20"/>
                <w:szCs w:val="20"/>
                <w:lang w:val="hr"/>
              </w:rPr>
              <w:t>organizacije</w:t>
            </w:r>
          </w:p>
        </w:tc>
        <w:tc>
          <w:tcPr>
            <w:tcW w:w="689" w:type="pct"/>
            <w:shd w:val="clear" w:color="auto" w:fill="auto"/>
          </w:tcPr>
          <w:p w14:paraId="7F41FAE2" w14:textId="77777777" w:rsidR="00CB4EBF" w:rsidRPr="001C431F" w:rsidRDefault="00CB4EBF" w:rsidP="0054762C">
            <w:pPr>
              <w:keepNext/>
              <w:spacing w:after="0" w:line="240" w:lineRule="auto"/>
              <w:jc w:val="center"/>
              <w:rPr>
                <w:rFonts w:cs="Times New Roman"/>
                <w:bCs/>
                <w:iCs/>
                <w:sz w:val="20"/>
                <w:szCs w:val="20"/>
              </w:rPr>
            </w:pPr>
            <w:r>
              <w:rPr>
                <w:rFonts w:cs="Times New Roman"/>
                <w:sz w:val="20"/>
                <w:szCs w:val="20"/>
                <w:lang w:val="hr"/>
              </w:rPr>
              <w:t>0</w:t>
            </w:r>
          </w:p>
        </w:tc>
        <w:tc>
          <w:tcPr>
            <w:tcW w:w="819" w:type="pct"/>
            <w:shd w:val="clear" w:color="auto" w:fill="auto"/>
          </w:tcPr>
          <w:p w14:paraId="2142B421" w14:textId="77777777" w:rsidR="00CB4EBF" w:rsidRPr="001C431F" w:rsidDel="006B3050" w:rsidRDefault="00CB4EBF" w:rsidP="0054762C">
            <w:pPr>
              <w:keepNext/>
              <w:spacing w:after="0" w:line="240" w:lineRule="auto"/>
              <w:jc w:val="center"/>
              <w:rPr>
                <w:rFonts w:cs="Times New Roman"/>
                <w:bCs/>
                <w:iCs/>
                <w:sz w:val="20"/>
                <w:szCs w:val="20"/>
              </w:rPr>
            </w:pPr>
            <w:r>
              <w:rPr>
                <w:rFonts w:cs="Times New Roman"/>
                <w:sz w:val="20"/>
                <w:szCs w:val="20"/>
                <w:lang w:val="hr"/>
              </w:rPr>
              <w:t>18</w:t>
            </w:r>
          </w:p>
        </w:tc>
      </w:tr>
    </w:tbl>
    <w:p w14:paraId="37996848" w14:textId="77777777" w:rsidR="00CB4EBF" w:rsidRPr="001C431F" w:rsidRDefault="00CB4EBF" w:rsidP="00CB4EBF">
      <w:pPr>
        <w:spacing w:after="0" w:line="240" w:lineRule="auto"/>
        <w:rPr>
          <w:rFonts w:eastAsia="Times New Roman" w:cs="Times New Roman"/>
          <w:iCs/>
          <w:sz w:val="20"/>
          <w:szCs w:val="20"/>
        </w:rPr>
      </w:pPr>
    </w:p>
    <w:p w14:paraId="13426B40" w14:textId="77777777" w:rsidR="00CB4EBF" w:rsidRPr="001C431F" w:rsidRDefault="00CB4EBF" w:rsidP="00CB4EBF">
      <w:pPr>
        <w:spacing w:after="0" w:line="240" w:lineRule="auto"/>
        <w:rPr>
          <w:rFonts w:eastAsia="Times New Roman" w:cs="Times New Roman"/>
          <w:iCs/>
          <w:sz w:val="20"/>
          <w:szCs w:val="20"/>
        </w:rPr>
      </w:pPr>
      <w:r>
        <w:rPr>
          <w:rFonts w:eastAsia="Times New Roman" w:cs="Times New Roman"/>
          <w:sz w:val="20"/>
          <w:szCs w:val="20"/>
          <w:lang w:val="hr"/>
        </w:rPr>
        <w:t>Tablica 3.: Pokazatelji rezultata</w:t>
      </w:r>
    </w:p>
    <w:tbl>
      <w:tblPr>
        <w:tblW w:w="5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804"/>
        <w:gridCol w:w="617"/>
        <w:gridCol w:w="1045"/>
        <w:gridCol w:w="1221"/>
        <w:gridCol w:w="929"/>
        <w:gridCol w:w="1073"/>
        <w:gridCol w:w="1031"/>
        <w:gridCol w:w="1105"/>
        <w:gridCol w:w="933"/>
      </w:tblGrid>
      <w:tr w:rsidR="00CB4EBF" w:rsidRPr="00A23750" w14:paraId="2E852524" w14:textId="77777777" w:rsidTr="0054762C">
        <w:trPr>
          <w:trHeight w:val="947"/>
        </w:trPr>
        <w:tc>
          <w:tcPr>
            <w:tcW w:w="372" w:type="pct"/>
          </w:tcPr>
          <w:p w14:paraId="76192899" w14:textId="77777777" w:rsidR="00CB4EBF" w:rsidRPr="001C431F" w:rsidRDefault="00CB4EBF" w:rsidP="0054762C">
            <w:pPr>
              <w:spacing w:after="0" w:line="240" w:lineRule="auto"/>
              <w:rPr>
                <w:rFonts w:cs="Times New Roman"/>
                <w:b/>
                <w:sz w:val="20"/>
                <w:szCs w:val="20"/>
              </w:rPr>
            </w:pPr>
            <w:r>
              <w:rPr>
                <w:rFonts w:cs="Times New Roman"/>
                <w:b/>
                <w:bCs/>
                <w:sz w:val="20"/>
                <w:szCs w:val="20"/>
                <w:lang w:val="hr"/>
              </w:rPr>
              <w:t xml:space="preserve">Prioritet </w:t>
            </w:r>
          </w:p>
        </w:tc>
        <w:tc>
          <w:tcPr>
            <w:tcW w:w="425" w:type="pct"/>
          </w:tcPr>
          <w:p w14:paraId="3E37782F" w14:textId="77777777" w:rsidR="00CB4EBF" w:rsidRPr="001C431F" w:rsidRDefault="00CB4EBF" w:rsidP="0054762C">
            <w:pPr>
              <w:spacing w:after="0" w:line="240" w:lineRule="auto"/>
              <w:rPr>
                <w:rFonts w:cs="Times New Roman"/>
                <w:b/>
                <w:sz w:val="20"/>
                <w:szCs w:val="20"/>
              </w:rPr>
            </w:pPr>
            <w:r>
              <w:rPr>
                <w:rFonts w:cs="Times New Roman"/>
                <w:b/>
                <w:bCs/>
                <w:sz w:val="20"/>
                <w:szCs w:val="20"/>
                <w:lang w:val="hr"/>
              </w:rPr>
              <w:t>Specifični cilj</w:t>
            </w:r>
          </w:p>
        </w:tc>
        <w:tc>
          <w:tcPr>
            <w:tcW w:w="326" w:type="pct"/>
          </w:tcPr>
          <w:p w14:paraId="710A6DA0" w14:textId="77777777" w:rsidR="00CB4EBF" w:rsidRPr="001C431F" w:rsidRDefault="00CB4EBF" w:rsidP="0054762C">
            <w:pPr>
              <w:spacing w:after="0" w:line="240" w:lineRule="auto"/>
              <w:rPr>
                <w:rFonts w:cs="Times New Roman"/>
                <w:b/>
                <w:sz w:val="20"/>
                <w:szCs w:val="20"/>
              </w:rPr>
            </w:pPr>
            <w:r>
              <w:rPr>
                <w:rFonts w:cs="Times New Roman"/>
                <w:b/>
                <w:bCs/>
                <w:sz w:val="20"/>
                <w:szCs w:val="20"/>
                <w:lang w:val="hr"/>
              </w:rPr>
              <w:t>Oznaka</w:t>
            </w:r>
          </w:p>
        </w:tc>
        <w:tc>
          <w:tcPr>
            <w:tcW w:w="552" w:type="pct"/>
            <w:shd w:val="clear" w:color="auto" w:fill="auto"/>
          </w:tcPr>
          <w:p w14:paraId="381C8910" w14:textId="77777777" w:rsidR="00CB4EBF" w:rsidRPr="001C431F" w:rsidRDefault="00CB4EBF" w:rsidP="0054762C">
            <w:pPr>
              <w:spacing w:after="0" w:line="240" w:lineRule="auto"/>
              <w:rPr>
                <w:rFonts w:cs="Times New Roman"/>
                <w:b/>
                <w:sz w:val="20"/>
                <w:szCs w:val="20"/>
              </w:rPr>
            </w:pPr>
            <w:r>
              <w:rPr>
                <w:rFonts w:cs="Times New Roman"/>
                <w:b/>
                <w:bCs/>
                <w:sz w:val="20"/>
                <w:szCs w:val="20"/>
                <w:lang w:val="hr"/>
              </w:rPr>
              <w:t xml:space="preserve">Pokazatelj </w:t>
            </w:r>
          </w:p>
        </w:tc>
        <w:tc>
          <w:tcPr>
            <w:tcW w:w="645" w:type="pct"/>
          </w:tcPr>
          <w:p w14:paraId="39C3010E" w14:textId="77777777" w:rsidR="00CB4EBF" w:rsidRPr="001C431F" w:rsidRDefault="00CB4EBF" w:rsidP="0054762C">
            <w:pPr>
              <w:spacing w:after="0" w:line="240" w:lineRule="auto"/>
              <w:ind w:right="-82"/>
              <w:rPr>
                <w:rFonts w:cs="Times New Roman"/>
                <w:b/>
                <w:sz w:val="20"/>
                <w:szCs w:val="20"/>
              </w:rPr>
            </w:pPr>
            <w:r>
              <w:rPr>
                <w:rFonts w:cs="Times New Roman"/>
                <w:b/>
                <w:bCs/>
                <w:sz w:val="20"/>
                <w:szCs w:val="20"/>
                <w:lang w:val="hr"/>
              </w:rPr>
              <w:t>Mjerna jedinica</w:t>
            </w:r>
          </w:p>
        </w:tc>
        <w:tc>
          <w:tcPr>
            <w:tcW w:w="491" w:type="pct"/>
          </w:tcPr>
          <w:p w14:paraId="090C528D" w14:textId="77777777" w:rsidR="00CB4EBF" w:rsidRPr="001C431F" w:rsidRDefault="00CB4EBF" w:rsidP="0054762C">
            <w:pPr>
              <w:spacing w:after="0" w:line="240" w:lineRule="auto"/>
              <w:rPr>
                <w:rFonts w:cs="Times New Roman"/>
                <w:b/>
                <w:sz w:val="20"/>
                <w:szCs w:val="20"/>
              </w:rPr>
            </w:pPr>
            <w:r>
              <w:rPr>
                <w:rFonts w:cs="Times New Roman"/>
                <w:b/>
                <w:bCs/>
                <w:sz w:val="20"/>
                <w:szCs w:val="20"/>
                <w:lang w:val="hr"/>
              </w:rPr>
              <w:t>Osnovna vrijednost</w:t>
            </w:r>
          </w:p>
        </w:tc>
        <w:tc>
          <w:tcPr>
            <w:tcW w:w="567" w:type="pct"/>
          </w:tcPr>
          <w:p w14:paraId="38C7A43E" w14:textId="77777777" w:rsidR="00CB4EBF" w:rsidRPr="001C431F" w:rsidRDefault="00CB4EBF" w:rsidP="0054762C">
            <w:pPr>
              <w:spacing w:after="0" w:line="240" w:lineRule="auto"/>
              <w:rPr>
                <w:rFonts w:cs="Times New Roman"/>
                <w:b/>
                <w:sz w:val="20"/>
                <w:szCs w:val="20"/>
              </w:rPr>
            </w:pPr>
            <w:r>
              <w:rPr>
                <w:rFonts w:cs="Times New Roman"/>
                <w:b/>
                <w:bCs/>
                <w:sz w:val="20"/>
                <w:szCs w:val="20"/>
                <w:lang w:val="hr"/>
              </w:rPr>
              <w:t>Referentna godina</w:t>
            </w:r>
          </w:p>
        </w:tc>
        <w:tc>
          <w:tcPr>
            <w:tcW w:w="545" w:type="pct"/>
            <w:shd w:val="clear" w:color="auto" w:fill="auto"/>
          </w:tcPr>
          <w:p w14:paraId="5DF4C121" w14:textId="77777777" w:rsidR="00CB4EBF" w:rsidRPr="001C431F" w:rsidRDefault="00CB4EBF" w:rsidP="0054762C">
            <w:pPr>
              <w:spacing w:after="0" w:line="240" w:lineRule="auto"/>
              <w:rPr>
                <w:rFonts w:cs="Times New Roman"/>
                <w:b/>
                <w:sz w:val="20"/>
                <w:szCs w:val="20"/>
              </w:rPr>
            </w:pPr>
            <w:r>
              <w:rPr>
                <w:rFonts w:cs="Times New Roman"/>
                <w:b/>
                <w:bCs/>
                <w:sz w:val="20"/>
                <w:szCs w:val="20"/>
                <w:lang w:val="hr"/>
              </w:rPr>
              <w:t>Konačna ciljna vrijednost (2029.)</w:t>
            </w:r>
          </w:p>
        </w:tc>
        <w:tc>
          <w:tcPr>
            <w:tcW w:w="584" w:type="pct"/>
            <w:shd w:val="clear" w:color="auto" w:fill="auto"/>
          </w:tcPr>
          <w:p w14:paraId="11A1EA54" w14:textId="77777777" w:rsidR="00CB4EBF" w:rsidRPr="001C431F" w:rsidRDefault="00CB4EBF" w:rsidP="0054762C">
            <w:pPr>
              <w:spacing w:after="0" w:line="240" w:lineRule="auto"/>
              <w:rPr>
                <w:rFonts w:cs="Times New Roman"/>
                <w:b/>
                <w:sz w:val="20"/>
                <w:szCs w:val="20"/>
              </w:rPr>
            </w:pPr>
            <w:r>
              <w:rPr>
                <w:rFonts w:cs="Times New Roman"/>
                <w:b/>
                <w:bCs/>
                <w:sz w:val="20"/>
                <w:szCs w:val="20"/>
                <w:lang w:val="hr"/>
              </w:rPr>
              <w:t>Izvor podataka</w:t>
            </w:r>
          </w:p>
        </w:tc>
        <w:tc>
          <w:tcPr>
            <w:tcW w:w="493" w:type="pct"/>
          </w:tcPr>
          <w:p w14:paraId="0BA75C1B" w14:textId="77777777" w:rsidR="00CB4EBF" w:rsidRPr="001C431F" w:rsidRDefault="00CB4EBF" w:rsidP="0054762C">
            <w:pPr>
              <w:spacing w:after="0" w:line="480" w:lineRule="auto"/>
              <w:rPr>
                <w:rFonts w:cs="Times New Roman"/>
                <w:b/>
                <w:sz w:val="20"/>
                <w:szCs w:val="20"/>
              </w:rPr>
            </w:pPr>
            <w:r>
              <w:rPr>
                <w:rFonts w:cs="Times New Roman"/>
                <w:b/>
                <w:bCs/>
                <w:sz w:val="20"/>
                <w:szCs w:val="20"/>
                <w:lang w:val="hr"/>
              </w:rPr>
              <w:t>Napomene</w:t>
            </w:r>
          </w:p>
        </w:tc>
      </w:tr>
      <w:tr w:rsidR="00CB4EBF" w:rsidRPr="00A23750" w14:paraId="3EA63B41" w14:textId="77777777" w:rsidTr="0054762C">
        <w:trPr>
          <w:trHeight w:val="629"/>
        </w:trPr>
        <w:tc>
          <w:tcPr>
            <w:tcW w:w="372" w:type="pct"/>
          </w:tcPr>
          <w:p w14:paraId="44EEABCC" w14:textId="77777777" w:rsidR="00CB4EBF" w:rsidRPr="001C431F" w:rsidRDefault="00CB4EBF" w:rsidP="0054762C">
            <w:pPr>
              <w:spacing w:after="0" w:line="240" w:lineRule="auto"/>
              <w:jc w:val="center"/>
              <w:rPr>
                <w:rFonts w:cs="Times New Roman"/>
                <w:iCs/>
                <w:sz w:val="20"/>
                <w:szCs w:val="20"/>
              </w:rPr>
            </w:pPr>
            <w:r>
              <w:rPr>
                <w:rFonts w:cs="Times New Roman"/>
                <w:sz w:val="20"/>
                <w:szCs w:val="20"/>
                <w:lang w:val="hr"/>
              </w:rPr>
              <w:t>2</w:t>
            </w:r>
          </w:p>
        </w:tc>
        <w:tc>
          <w:tcPr>
            <w:tcW w:w="425" w:type="pct"/>
          </w:tcPr>
          <w:p w14:paraId="13418329" w14:textId="77777777" w:rsidR="00CB4EBF" w:rsidRPr="001C431F" w:rsidRDefault="00CB4EBF" w:rsidP="0054762C">
            <w:pPr>
              <w:spacing w:after="0" w:line="240" w:lineRule="auto"/>
              <w:rPr>
                <w:rFonts w:cs="Times New Roman"/>
                <w:iCs/>
                <w:sz w:val="20"/>
                <w:szCs w:val="20"/>
              </w:rPr>
            </w:pPr>
            <w:r>
              <w:rPr>
                <w:rFonts w:eastAsia="Times New Roman" w:cs="Times New Roman"/>
                <w:noProof/>
                <w:sz w:val="20"/>
                <w:szCs w:val="20"/>
                <w:lang w:val="hr"/>
              </w:rPr>
              <w:t>SO 2.4</w:t>
            </w:r>
          </w:p>
        </w:tc>
        <w:tc>
          <w:tcPr>
            <w:tcW w:w="326" w:type="pct"/>
          </w:tcPr>
          <w:p w14:paraId="53516B66" w14:textId="77777777" w:rsidR="00CB4EBF" w:rsidRPr="001C431F" w:rsidRDefault="00CB4EBF" w:rsidP="0054762C">
            <w:pPr>
              <w:spacing w:after="0" w:line="240" w:lineRule="auto"/>
              <w:rPr>
                <w:rFonts w:cs="Times New Roman"/>
                <w:iCs/>
                <w:sz w:val="20"/>
                <w:szCs w:val="20"/>
              </w:rPr>
            </w:pPr>
            <w:proofErr w:type="spellStart"/>
            <w:r>
              <w:rPr>
                <w:rFonts w:cs="Times New Roman"/>
                <w:sz w:val="20"/>
                <w:szCs w:val="20"/>
                <w:lang w:val="hr"/>
              </w:rPr>
              <w:t>RCR</w:t>
            </w:r>
            <w:proofErr w:type="spellEnd"/>
            <w:r>
              <w:rPr>
                <w:rFonts w:cs="Times New Roman"/>
                <w:sz w:val="20"/>
                <w:szCs w:val="20"/>
                <w:lang w:val="hr"/>
              </w:rPr>
              <w:t xml:space="preserve"> 84</w:t>
            </w:r>
          </w:p>
        </w:tc>
        <w:tc>
          <w:tcPr>
            <w:tcW w:w="552" w:type="pct"/>
            <w:shd w:val="clear" w:color="auto" w:fill="auto"/>
          </w:tcPr>
          <w:p w14:paraId="75920809" w14:textId="77777777" w:rsidR="00CB4EBF" w:rsidRPr="001C431F" w:rsidRDefault="00CB4EBF" w:rsidP="0054762C">
            <w:pPr>
              <w:spacing w:after="0" w:line="240" w:lineRule="auto"/>
              <w:rPr>
                <w:rFonts w:cs="Times New Roman"/>
                <w:iCs/>
                <w:sz w:val="20"/>
                <w:szCs w:val="20"/>
              </w:rPr>
            </w:pPr>
            <w:r>
              <w:rPr>
                <w:rFonts w:cs="Times New Roman"/>
                <w:sz w:val="20"/>
                <w:szCs w:val="20"/>
                <w:lang w:val="hr"/>
              </w:rPr>
              <w:t>Organizacije koje surađuju preko granica nakon okončanja projekta</w:t>
            </w:r>
          </w:p>
        </w:tc>
        <w:tc>
          <w:tcPr>
            <w:tcW w:w="645" w:type="pct"/>
          </w:tcPr>
          <w:p w14:paraId="7E4B3541" w14:textId="77777777" w:rsidR="00CB4EBF" w:rsidRPr="001C431F" w:rsidRDefault="00CB4EBF" w:rsidP="0054762C">
            <w:pPr>
              <w:spacing w:after="0" w:line="240" w:lineRule="auto"/>
              <w:rPr>
                <w:rFonts w:cs="Times New Roman"/>
                <w:iCs/>
                <w:sz w:val="20"/>
                <w:szCs w:val="20"/>
              </w:rPr>
            </w:pPr>
            <w:r>
              <w:rPr>
                <w:rFonts w:cs="Times New Roman"/>
                <w:sz w:val="20"/>
                <w:szCs w:val="20"/>
                <w:lang w:val="hr"/>
              </w:rPr>
              <w:t>organizacije</w:t>
            </w:r>
          </w:p>
        </w:tc>
        <w:tc>
          <w:tcPr>
            <w:tcW w:w="491" w:type="pct"/>
          </w:tcPr>
          <w:p w14:paraId="264705B6" w14:textId="77777777" w:rsidR="00CB4EBF" w:rsidRPr="001C431F" w:rsidRDefault="00CB4EBF" w:rsidP="0054762C">
            <w:pPr>
              <w:spacing w:after="0" w:line="240" w:lineRule="auto"/>
              <w:jc w:val="center"/>
              <w:rPr>
                <w:rFonts w:cs="Times New Roman"/>
                <w:iCs/>
                <w:sz w:val="20"/>
                <w:szCs w:val="20"/>
              </w:rPr>
            </w:pPr>
            <w:r>
              <w:rPr>
                <w:rFonts w:cs="Times New Roman"/>
                <w:sz w:val="20"/>
                <w:szCs w:val="20"/>
                <w:lang w:val="hr"/>
              </w:rPr>
              <w:t>0</w:t>
            </w:r>
          </w:p>
        </w:tc>
        <w:tc>
          <w:tcPr>
            <w:tcW w:w="567" w:type="pct"/>
          </w:tcPr>
          <w:p w14:paraId="0DB2DDC7" w14:textId="77777777" w:rsidR="00CB4EBF" w:rsidRPr="001C431F" w:rsidRDefault="00CB4EBF" w:rsidP="0054762C">
            <w:pPr>
              <w:spacing w:after="0" w:line="240" w:lineRule="auto"/>
              <w:jc w:val="center"/>
              <w:rPr>
                <w:rFonts w:cs="Times New Roman"/>
                <w:iCs/>
                <w:sz w:val="20"/>
                <w:szCs w:val="20"/>
              </w:rPr>
            </w:pPr>
            <w:r>
              <w:rPr>
                <w:rFonts w:cs="Times New Roman"/>
                <w:sz w:val="20"/>
                <w:szCs w:val="20"/>
                <w:lang w:val="hr"/>
              </w:rPr>
              <w:t>2021.</w:t>
            </w:r>
          </w:p>
        </w:tc>
        <w:tc>
          <w:tcPr>
            <w:tcW w:w="545" w:type="pct"/>
            <w:shd w:val="clear" w:color="auto" w:fill="auto"/>
          </w:tcPr>
          <w:p w14:paraId="21F2D9C9" w14:textId="77777777" w:rsidR="00CB4EBF" w:rsidRPr="001C431F" w:rsidRDefault="00CB4EBF" w:rsidP="0054762C">
            <w:pPr>
              <w:spacing w:after="0" w:line="240" w:lineRule="auto"/>
              <w:jc w:val="center"/>
              <w:rPr>
                <w:rFonts w:cs="Times New Roman"/>
                <w:iCs/>
                <w:sz w:val="20"/>
                <w:szCs w:val="20"/>
              </w:rPr>
            </w:pPr>
            <w:r>
              <w:rPr>
                <w:rFonts w:cs="Times New Roman"/>
                <w:sz w:val="20"/>
                <w:szCs w:val="20"/>
                <w:lang w:val="hr"/>
              </w:rPr>
              <w:t>6</w:t>
            </w:r>
          </w:p>
        </w:tc>
        <w:tc>
          <w:tcPr>
            <w:tcW w:w="584" w:type="pct"/>
            <w:shd w:val="clear" w:color="auto" w:fill="auto"/>
          </w:tcPr>
          <w:p w14:paraId="7C99BA39" w14:textId="77777777" w:rsidR="00CB4EBF" w:rsidRPr="001C431F" w:rsidRDefault="00CB4EBF" w:rsidP="0054762C">
            <w:pPr>
              <w:spacing w:after="0" w:line="240" w:lineRule="auto"/>
              <w:rPr>
                <w:rFonts w:cs="Times New Roman"/>
                <w:iCs/>
                <w:sz w:val="20"/>
                <w:szCs w:val="20"/>
              </w:rPr>
            </w:pPr>
            <w:r>
              <w:rPr>
                <w:rFonts w:cs="Times New Roman"/>
                <w:sz w:val="20"/>
                <w:szCs w:val="20"/>
                <w:lang w:val="hr"/>
              </w:rPr>
              <w:t>Sustav praćenja upravljačkog tijela</w:t>
            </w:r>
          </w:p>
        </w:tc>
        <w:tc>
          <w:tcPr>
            <w:tcW w:w="493" w:type="pct"/>
          </w:tcPr>
          <w:p w14:paraId="308A247A" w14:textId="77777777" w:rsidR="00CB4EBF" w:rsidRPr="001C431F" w:rsidRDefault="00CB4EBF" w:rsidP="0054762C">
            <w:pPr>
              <w:spacing w:after="0"/>
              <w:jc w:val="center"/>
              <w:rPr>
                <w:rFonts w:cs="Times New Roman"/>
                <w:iCs/>
                <w:sz w:val="20"/>
                <w:szCs w:val="20"/>
              </w:rPr>
            </w:pPr>
          </w:p>
        </w:tc>
      </w:tr>
      <w:tr w:rsidR="00CB4EBF" w:rsidRPr="00A23750" w14:paraId="297FBBDA" w14:textId="77777777" w:rsidTr="0054762C">
        <w:trPr>
          <w:trHeight w:val="629"/>
        </w:trPr>
        <w:tc>
          <w:tcPr>
            <w:tcW w:w="372" w:type="pct"/>
          </w:tcPr>
          <w:p w14:paraId="0A3C0BC7" w14:textId="77777777" w:rsidR="00CB4EBF" w:rsidRPr="001C431F" w:rsidRDefault="00CB4EBF" w:rsidP="0054762C">
            <w:pPr>
              <w:spacing w:after="0" w:line="240" w:lineRule="auto"/>
              <w:jc w:val="center"/>
              <w:rPr>
                <w:rFonts w:cs="Times New Roman"/>
                <w:iCs/>
                <w:sz w:val="20"/>
                <w:szCs w:val="20"/>
              </w:rPr>
            </w:pPr>
            <w:r>
              <w:rPr>
                <w:rFonts w:cs="Times New Roman"/>
                <w:sz w:val="20"/>
                <w:szCs w:val="20"/>
                <w:lang w:val="hr"/>
              </w:rPr>
              <w:t>2</w:t>
            </w:r>
          </w:p>
        </w:tc>
        <w:tc>
          <w:tcPr>
            <w:tcW w:w="425" w:type="pct"/>
          </w:tcPr>
          <w:p w14:paraId="3C9C78A2" w14:textId="77777777" w:rsidR="00CB4EBF" w:rsidRPr="001C431F" w:rsidRDefault="00CB4EBF" w:rsidP="0054762C">
            <w:pPr>
              <w:spacing w:after="0" w:line="240" w:lineRule="auto"/>
              <w:rPr>
                <w:rFonts w:cs="Times New Roman"/>
                <w:iCs/>
                <w:sz w:val="20"/>
                <w:szCs w:val="20"/>
              </w:rPr>
            </w:pPr>
            <w:r>
              <w:rPr>
                <w:rFonts w:eastAsia="Times New Roman" w:cs="Times New Roman"/>
                <w:noProof/>
                <w:sz w:val="20"/>
                <w:szCs w:val="20"/>
                <w:lang w:val="hr"/>
              </w:rPr>
              <w:t>SO 2.4</w:t>
            </w:r>
          </w:p>
        </w:tc>
        <w:tc>
          <w:tcPr>
            <w:tcW w:w="326" w:type="pct"/>
          </w:tcPr>
          <w:p w14:paraId="59CCA030" w14:textId="77777777" w:rsidR="00CB4EBF" w:rsidRPr="001C431F" w:rsidRDefault="00CB4EBF" w:rsidP="0054762C">
            <w:pPr>
              <w:spacing w:after="0" w:line="240" w:lineRule="auto"/>
              <w:rPr>
                <w:rFonts w:cs="Times New Roman"/>
                <w:iCs/>
                <w:sz w:val="20"/>
                <w:szCs w:val="20"/>
              </w:rPr>
            </w:pPr>
            <w:proofErr w:type="spellStart"/>
            <w:r>
              <w:rPr>
                <w:rFonts w:cs="Times New Roman"/>
                <w:sz w:val="20"/>
                <w:szCs w:val="20"/>
                <w:lang w:val="hr"/>
              </w:rPr>
              <w:t>RCR</w:t>
            </w:r>
            <w:proofErr w:type="spellEnd"/>
            <w:r>
              <w:rPr>
                <w:rFonts w:cs="Times New Roman"/>
                <w:sz w:val="20"/>
                <w:szCs w:val="20"/>
                <w:lang w:val="hr"/>
              </w:rPr>
              <w:t xml:space="preserve"> 104</w:t>
            </w:r>
          </w:p>
        </w:tc>
        <w:tc>
          <w:tcPr>
            <w:tcW w:w="552" w:type="pct"/>
            <w:shd w:val="clear" w:color="auto" w:fill="auto"/>
          </w:tcPr>
          <w:p w14:paraId="1A2A3A44" w14:textId="77777777" w:rsidR="00CB4EBF" w:rsidRPr="001C431F" w:rsidRDefault="00CB4EBF" w:rsidP="0054762C">
            <w:pPr>
              <w:spacing w:after="0" w:line="240" w:lineRule="auto"/>
              <w:rPr>
                <w:rFonts w:cs="Times New Roman"/>
                <w:iCs/>
                <w:sz w:val="20"/>
                <w:szCs w:val="20"/>
              </w:rPr>
            </w:pPr>
            <w:r>
              <w:rPr>
                <w:rFonts w:cs="Times New Roman"/>
                <w:sz w:val="20"/>
                <w:szCs w:val="20"/>
                <w:lang w:val="hr"/>
              </w:rPr>
              <w:t>Rješenja koja su organizacije pokrenule ili proširile</w:t>
            </w:r>
          </w:p>
        </w:tc>
        <w:tc>
          <w:tcPr>
            <w:tcW w:w="645" w:type="pct"/>
          </w:tcPr>
          <w:p w14:paraId="6109FA99" w14:textId="77777777" w:rsidR="00CB4EBF" w:rsidRPr="001C431F" w:rsidRDefault="00CB4EBF" w:rsidP="0054762C">
            <w:pPr>
              <w:spacing w:after="0" w:line="240" w:lineRule="auto"/>
              <w:rPr>
                <w:rFonts w:cs="Times New Roman"/>
                <w:iCs/>
                <w:sz w:val="20"/>
                <w:szCs w:val="20"/>
              </w:rPr>
            </w:pPr>
            <w:r>
              <w:rPr>
                <w:rFonts w:cs="Times New Roman"/>
                <w:sz w:val="20"/>
                <w:szCs w:val="20"/>
                <w:lang w:val="hr"/>
              </w:rPr>
              <w:t>rješenja</w:t>
            </w:r>
          </w:p>
        </w:tc>
        <w:tc>
          <w:tcPr>
            <w:tcW w:w="491" w:type="pct"/>
          </w:tcPr>
          <w:p w14:paraId="56DFACC0" w14:textId="77777777" w:rsidR="00CB4EBF" w:rsidRPr="001C431F" w:rsidRDefault="00CB4EBF" w:rsidP="0054762C">
            <w:pPr>
              <w:spacing w:after="0" w:line="240" w:lineRule="auto"/>
              <w:jc w:val="center"/>
              <w:rPr>
                <w:rFonts w:cs="Times New Roman"/>
                <w:iCs/>
                <w:sz w:val="20"/>
                <w:szCs w:val="20"/>
              </w:rPr>
            </w:pPr>
            <w:r>
              <w:rPr>
                <w:rFonts w:cs="Times New Roman"/>
                <w:sz w:val="20"/>
                <w:szCs w:val="20"/>
                <w:lang w:val="hr"/>
              </w:rPr>
              <w:t>0</w:t>
            </w:r>
          </w:p>
        </w:tc>
        <w:tc>
          <w:tcPr>
            <w:tcW w:w="567" w:type="pct"/>
          </w:tcPr>
          <w:p w14:paraId="5DF3348A" w14:textId="77777777" w:rsidR="00CB4EBF" w:rsidRPr="001C431F" w:rsidRDefault="00CB4EBF" w:rsidP="0054762C">
            <w:pPr>
              <w:spacing w:after="0" w:line="240" w:lineRule="auto"/>
              <w:jc w:val="center"/>
              <w:rPr>
                <w:rFonts w:cs="Times New Roman"/>
                <w:iCs/>
                <w:sz w:val="20"/>
                <w:szCs w:val="20"/>
              </w:rPr>
            </w:pPr>
            <w:r>
              <w:rPr>
                <w:rFonts w:cs="Times New Roman"/>
                <w:sz w:val="20"/>
                <w:szCs w:val="20"/>
                <w:lang w:val="hr"/>
              </w:rPr>
              <w:t>2021.</w:t>
            </w:r>
          </w:p>
        </w:tc>
        <w:tc>
          <w:tcPr>
            <w:tcW w:w="545" w:type="pct"/>
            <w:shd w:val="clear" w:color="auto" w:fill="auto"/>
          </w:tcPr>
          <w:p w14:paraId="56337676" w14:textId="77777777" w:rsidR="00CB4EBF" w:rsidRPr="001C431F" w:rsidRDefault="00CB4EBF" w:rsidP="0054762C">
            <w:pPr>
              <w:spacing w:after="0" w:line="240" w:lineRule="auto"/>
              <w:jc w:val="center"/>
              <w:rPr>
                <w:rFonts w:cs="Times New Roman"/>
                <w:iCs/>
                <w:sz w:val="20"/>
                <w:szCs w:val="20"/>
              </w:rPr>
            </w:pPr>
            <w:r>
              <w:rPr>
                <w:rFonts w:cs="Times New Roman"/>
                <w:sz w:val="20"/>
                <w:szCs w:val="20"/>
                <w:lang w:val="hr"/>
              </w:rPr>
              <w:t>11</w:t>
            </w:r>
          </w:p>
        </w:tc>
        <w:tc>
          <w:tcPr>
            <w:tcW w:w="584" w:type="pct"/>
            <w:shd w:val="clear" w:color="auto" w:fill="auto"/>
          </w:tcPr>
          <w:p w14:paraId="0F546F07" w14:textId="77777777" w:rsidR="00CB4EBF" w:rsidRPr="001C431F" w:rsidRDefault="00CB4EBF" w:rsidP="0054762C">
            <w:pPr>
              <w:spacing w:after="0" w:line="240" w:lineRule="auto"/>
              <w:rPr>
                <w:rFonts w:cs="Times New Roman"/>
                <w:iCs/>
                <w:sz w:val="20"/>
                <w:szCs w:val="20"/>
              </w:rPr>
            </w:pPr>
            <w:r>
              <w:rPr>
                <w:rFonts w:cs="Times New Roman"/>
                <w:sz w:val="20"/>
                <w:szCs w:val="20"/>
                <w:lang w:val="hr"/>
              </w:rPr>
              <w:t>Sustav praćenja upravljačkog tijela</w:t>
            </w:r>
          </w:p>
        </w:tc>
        <w:tc>
          <w:tcPr>
            <w:tcW w:w="493" w:type="pct"/>
          </w:tcPr>
          <w:p w14:paraId="35341112" w14:textId="77777777" w:rsidR="00CB4EBF" w:rsidRPr="001C431F" w:rsidRDefault="00CB4EBF" w:rsidP="0054762C">
            <w:pPr>
              <w:spacing w:after="0"/>
              <w:jc w:val="center"/>
              <w:rPr>
                <w:rFonts w:cs="Times New Roman"/>
                <w:iCs/>
                <w:sz w:val="20"/>
                <w:szCs w:val="20"/>
              </w:rPr>
            </w:pPr>
          </w:p>
        </w:tc>
      </w:tr>
    </w:tbl>
    <w:p w14:paraId="24566BA5"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p>
    <w:p w14:paraId="226C5D6E"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r>
        <w:rPr>
          <w:rFonts w:eastAsia="Times New Roman" w:cs="Times New Roman"/>
          <w:noProof/>
          <w:sz w:val="20"/>
          <w:szCs w:val="20"/>
          <w:lang w:val="hr"/>
        </w:rPr>
        <w:t>Glavne ciljne skupine</w:t>
      </w:r>
    </w:p>
    <w:p w14:paraId="3248F930"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i/>
          <w:iCs/>
          <w:noProof/>
          <w:color w:val="000000"/>
          <w:sz w:val="20"/>
          <w:szCs w:val="20"/>
          <w:lang w:val="hr"/>
        </w:rPr>
        <w:t>Upućivanje: članak 17. stavak 3. točka (e) podtočka iii., članak 17. stavak 9. točka (c) podtočka iv.</w:t>
      </w:r>
    </w:p>
    <w:p w14:paraId="348C7111" w14:textId="77777777" w:rsidR="00CB4EBF" w:rsidRPr="001C431F" w:rsidRDefault="00CB4EBF" w:rsidP="00CB4EBF">
      <w:pPr>
        <w:spacing w:after="0"/>
        <w:jc w:val="both"/>
        <w:rPr>
          <w:rFonts w:cs="Times New Roman"/>
          <w:sz w:val="20"/>
          <w:szCs w:val="20"/>
        </w:rPr>
      </w:pPr>
    </w:p>
    <w:p w14:paraId="0ADA6FB9" w14:textId="77777777" w:rsidR="00CB4EBF" w:rsidRDefault="00CB4EBF" w:rsidP="00CB4EBF">
      <w:pPr>
        <w:spacing w:after="0" w:line="259" w:lineRule="auto"/>
        <w:jc w:val="both"/>
        <w:rPr>
          <w:rFonts w:cs="Times New Roman"/>
          <w:sz w:val="20"/>
          <w:szCs w:val="20"/>
        </w:rPr>
      </w:pPr>
      <w:r>
        <w:rPr>
          <w:rFonts w:cs="Times New Roman"/>
          <w:sz w:val="20"/>
          <w:szCs w:val="20"/>
          <w:lang w:val="hr"/>
        </w:rPr>
        <w:t>Izravne ciljne skupine (okvirni popis potencijalnih korisnika) za sheme potpore s otvorenim pozivom jesu:</w:t>
      </w:r>
    </w:p>
    <w:p w14:paraId="78FCB7D0" w14:textId="77777777" w:rsidR="00CB4EBF" w:rsidRPr="00FC3D97" w:rsidRDefault="00CB4EBF" w:rsidP="00CB4EBF">
      <w:pPr>
        <w:pStyle w:val="ListParagraph"/>
        <w:numPr>
          <w:ilvl w:val="0"/>
          <w:numId w:val="11"/>
        </w:numPr>
        <w:spacing w:after="0"/>
        <w:jc w:val="both"/>
        <w:rPr>
          <w:rFonts w:cs="Times New Roman"/>
          <w:sz w:val="20"/>
          <w:szCs w:val="20"/>
        </w:rPr>
      </w:pPr>
      <w:r>
        <w:rPr>
          <w:sz w:val="20"/>
          <w:szCs w:val="20"/>
          <w:lang w:val="hr"/>
        </w:rPr>
        <w:lastRenderedPageBreak/>
        <w:t>nacionalna, regionalna i lokalna tijela javne vlasti</w:t>
      </w:r>
      <w:r>
        <w:rPr>
          <w:lang w:val="hr"/>
        </w:rPr>
        <w:t xml:space="preserve"> </w:t>
      </w:r>
      <w:r>
        <w:rPr>
          <w:sz w:val="20"/>
          <w:szCs w:val="20"/>
          <w:lang w:val="hr"/>
        </w:rPr>
        <w:t xml:space="preserve">i tijela kojima se upravlja na temelju javnog prava, </w:t>
      </w:r>
    </w:p>
    <w:p w14:paraId="12249BD4" w14:textId="77777777" w:rsidR="00CB4EBF" w:rsidRPr="00FC3D97" w:rsidRDefault="00CB4EBF" w:rsidP="00CB4EBF">
      <w:pPr>
        <w:pStyle w:val="ListParagraph"/>
        <w:numPr>
          <w:ilvl w:val="0"/>
          <w:numId w:val="11"/>
        </w:numPr>
        <w:spacing w:after="0"/>
        <w:jc w:val="both"/>
        <w:rPr>
          <w:rFonts w:cs="Times New Roman"/>
          <w:sz w:val="20"/>
          <w:szCs w:val="20"/>
        </w:rPr>
      </w:pPr>
      <w:r>
        <w:rPr>
          <w:rFonts w:cs="Times New Roman"/>
          <w:sz w:val="20"/>
          <w:szCs w:val="20"/>
          <w:lang w:val="hr"/>
        </w:rPr>
        <w:t>regionalne i lokalne razvojne agencije,</w:t>
      </w:r>
    </w:p>
    <w:p w14:paraId="217AD1D5" w14:textId="77777777" w:rsidR="00CB4EBF" w:rsidRPr="00872C85" w:rsidRDefault="00CB4EBF" w:rsidP="00CB4EBF">
      <w:pPr>
        <w:pStyle w:val="ListParagraph"/>
        <w:numPr>
          <w:ilvl w:val="0"/>
          <w:numId w:val="11"/>
        </w:numPr>
        <w:spacing w:after="0"/>
        <w:jc w:val="both"/>
        <w:rPr>
          <w:rFonts w:cs="Times New Roman"/>
          <w:sz w:val="20"/>
          <w:szCs w:val="20"/>
        </w:rPr>
      </w:pPr>
      <w:r>
        <w:rPr>
          <w:rFonts w:cs="Times New Roman"/>
          <w:sz w:val="20"/>
          <w:szCs w:val="20"/>
          <w:lang w:val="hr"/>
        </w:rPr>
        <w:t xml:space="preserve">organizacije koje se bave pružanjem civilne zaštite i pomoći u prirodnim katastrofama, </w:t>
      </w:r>
    </w:p>
    <w:p w14:paraId="7FD0AC98" w14:textId="77777777" w:rsidR="00CB4EBF" w:rsidRDefault="00CB4EBF" w:rsidP="00CB4EBF">
      <w:pPr>
        <w:pStyle w:val="ListParagraph"/>
        <w:numPr>
          <w:ilvl w:val="0"/>
          <w:numId w:val="11"/>
        </w:numPr>
        <w:spacing w:after="0"/>
        <w:jc w:val="both"/>
        <w:rPr>
          <w:rFonts w:cs="Times New Roman"/>
          <w:sz w:val="20"/>
          <w:szCs w:val="20"/>
        </w:rPr>
      </w:pPr>
      <w:r>
        <w:rPr>
          <w:rFonts w:cs="Times New Roman"/>
          <w:sz w:val="20"/>
          <w:szCs w:val="20"/>
          <w:lang w:val="hr"/>
        </w:rPr>
        <w:t>organizacije koje djeluju u području prilagodbe klimatskim promjenama i sprječavanja rizika od katastrofa,</w:t>
      </w:r>
    </w:p>
    <w:p w14:paraId="037A49B8" w14:textId="77777777" w:rsidR="00CB4EBF" w:rsidRDefault="00CB4EBF" w:rsidP="00CB4EBF">
      <w:pPr>
        <w:pStyle w:val="ListParagraph"/>
        <w:numPr>
          <w:ilvl w:val="0"/>
          <w:numId w:val="11"/>
        </w:numPr>
        <w:spacing w:after="0"/>
        <w:jc w:val="both"/>
        <w:rPr>
          <w:rFonts w:cs="Times New Roman"/>
          <w:sz w:val="20"/>
          <w:szCs w:val="20"/>
        </w:rPr>
      </w:pPr>
      <w:r>
        <w:rPr>
          <w:rFonts w:cs="Times New Roman"/>
          <w:sz w:val="20"/>
          <w:szCs w:val="20"/>
          <w:lang w:val="hr"/>
        </w:rPr>
        <w:t xml:space="preserve">subjekti civilne zaštite, </w:t>
      </w:r>
    </w:p>
    <w:p w14:paraId="056ACD1F" w14:textId="77777777" w:rsidR="00CB4EBF" w:rsidRDefault="00CB4EBF" w:rsidP="00CB4EBF">
      <w:pPr>
        <w:pStyle w:val="ListParagraph"/>
        <w:numPr>
          <w:ilvl w:val="0"/>
          <w:numId w:val="11"/>
        </w:numPr>
        <w:spacing w:after="0"/>
        <w:jc w:val="both"/>
        <w:rPr>
          <w:rFonts w:cs="Times New Roman"/>
          <w:sz w:val="20"/>
          <w:szCs w:val="20"/>
        </w:rPr>
      </w:pPr>
      <w:r>
        <w:rPr>
          <w:rFonts w:cs="Times New Roman"/>
          <w:sz w:val="20"/>
          <w:szCs w:val="20"/>
          <w:lang w:val="hr"/>
        </w:rPr>
        <w:t xml:space="preserve">hitni pozivni centri </w:t>
      </w:r>
    </w:p>
    <w:p w14:paraId="6D4BD75B" w14:textId="77777777" w:rsidR="00CB4EBF" w:rsidRPr="00FC3D97" w:rsidRDefault="00CB4EBF" w:rsidP="00CB4EBF">
      <w:pPr>
        <w:pStyle w:val="ListParagraph"/>
        <w:numPr>
          <w:ilvl w:val="0"/>
          <w:numId w:val="11"/>
        </w:numPr>
        <w:spacing w:after="0"/>
        <w:jc w:val="both"/>
        <w:rPr>
          <w:rFonts w:cs="Times New Roman"/>
          <w:sz w:val="20"/>
          <w:szCs w:val="20"/>
        </w:rPr>
      </w:pPr>
      <w:r>
        <w:rPr>
          <w:rFonts w:cs="Times New Roman"/>
          <w:sz w:val="20"/>
          <w:szCs w:val="20"/>
          <w:lang w:val="hr"/>
        </w:rPr>
        <w:t>zavodi za javno zdravstvo,</w:t>
      </w:r>
    </w:p>
    <w:p w14:paraId="1191A7A3" w14:textId="77777777" w:rsidR="00CB4EBF" w:rsidRDefault="00CB4EBF" w:rsidP="00CB4EBF">
      <w:pPr>
        <w:pStyle w:val="ListParagraph"/>
        <w:numPr>
          <w:ilvl w:val="0"/>
          <w:numId w:val="11"/>
        </w:numPr>
        <w:spacing w:after="0"/>
        <w:jc w:val="both"/>
        <w:rPr>
          <w:rFonts w:cs="Times New Roman"/>
          <w:sz w:val="20"/>
          <w:szCs w:val="20"/>
        </w:rPr>
      </w:pPr>
      <w:r>
        <w:rPr>
          <w:rFonts w:cs="Times New Roman"/>
          <w:sz w:val="20"/>
          <w:szCs w:val="20"/>
          <w:lang w:val="hr"/>
        </w:rPr>
        <w:t>javne ustanove za upravljanje zaštićenim područjima koje se bave zaštitom prirode i korištenjem zemljišta, uključujući nacionalne parkove, parkove prirode i županijske javne ustanove za upravljanje zaštićenim područjima</w:t>
      </w:r>
    </w:p>
    <w:p w14:paraId="1BD8C925" w14:textId="77777777" w:rsidR="00CB4EBF" w:rsidRDefault="00CB4EBF" w:rsidP="00CB4EBF">
      <w:pPr>
        <w:pStyle w:val="ListParagraph"/>
        <w:numPr>
          <w:ilvl w:val="0"/>
          <w:numId w:val="11"/>
        </w:numPr>
        <w:spacing w:after="0"/>
        <w:jc w:val="both"/>
        <w:rPr>
          <w:rFonts w:cs="Times New Roman"/>
          <w:sz w:val="20"/>
          <w:szCs w:val="20"/>
        </w:rPr>
      </w:pPr>
      <w:r>
        <w:rPr>
          <w:rFonts w:cs="Times New Roman"/>
          <w:sz w:val="20"/>
          <w:szCs w:val="20"/>
          <w:lang w:val="hr"/>
        </w:rPr>
        <w:t>nacionalna i regionalna/lokalna tijela za upravljanje vodama,</w:t>
      </w:r>
    </w:p>
    <w:p w14:paraId="66A95B5E" w14:textId="77777777" w:rsidR="00CB4EBF" w:rsidRDefault="00CB4EBF" w:rsidP="00CB4EBF">
      <w:pPr>
        <w:pStyle w:val="ListParagraph"/>
        <w:numPr>
          <w:ilvl w:val="0"/>
          <w:numId w:val="11"/>
        </w:numPr>
        <w:spacing w:after="0"/>
        <w:jc w:val="both"/>
        <w:rPr>
          <w:rFonts w:cs="Times New Roman"/>
          <w:sz w:val="20"/>
          <w:szCs w:val="20"/>
        </w:rPr>
      </w:pPr>
      <w:r>
        <w:rPr>
          <w:rFonts w:cs="Times New Roman"/>
          <w:sz w:val="20"/>
          <w:szCs w:val="20"/>
          <w:lang w:val="hr"/>
        </w:rPr>
        <w:t>državna šumarska poduzeća,</w:t>
      </w:r>
    </w:p>
    <w:p w14:paraId="0A231791" w14:textId="77777777" w:rsidR="00CB4EBF" w:rsidRDefault="00CB4EBF" w:rsidP="00CB4EBF">
      <w:pPr>
        <w:pStyle w:val="ListParagraph"/>
        <w:numPr>
          <w:ilvl w:val="0"/>
          <w:numId w:val="11"/>
        </w:numPr>
        <w:spacing w:after="0"/>
        <w:jc w:val="both"/>
        <w:rPr>
          <w:rFonts w:cs="Times New Roman"/>
          <w:sz w:val="20"/>
          <w:szCs w:val="20"/>
        </w:rPr>
      </w:pPr>
      <w:r>
        <w:rPr>
          <w:rFonts w:cs="Times New Roman"/>
          <w:sz w:val="20"/>
          <w:szCs w:val="20"/>
          <w:lang w:val="hr"/>
        </w:rPr>
        <w:t>komunalna poduzeća (uključujući gospodarenje otpadom i vodama),</w:t>
      </w:r>
    </w:p>
    <w:p w14:paraId="7F4BD729" w14:textId="77777777" w:rsidR="00CB4EBF" w:rsidRDefault="00CB4EBF" w:rsidP="00CB4EBF">
      <w:pPr>
        <w:pStyle w:val="ListParagraph"/>
        <w:numPr>
          <w:ilvl w:val="0"/>
          <w:numId w:val="11"/>
        </w:numPr>
        <w:spacing w:after="0"/>
        <w:jc w:val="both"/>
        <w:rPr>
          <w:rFonts w:cs="Times New Roman"/>
          <w:sz w:val="20"/>
          <w:szCs w:val="20"/>
        </w:rPr>
      </w:pPr>
      <w:r>
        <w:rPr>
          <w:rFonts w:cs="Times New Roman"/>
          <w:sz w:val="20"/>
          <w:szCs w:val="20"/>
          <w:lang w:val="hr"/>
        </w:rPr>
        <w:t>sveučilišta i istraživačke institucije koje se bave metodološkom podrškom za istraživanja, pripremne radnje, procjene utjecaja,</w:t>
      </w:r>
    </w:p>
    <w:p w14:paraId="1B8A36A9" w14:textId="77777777" w:rsidR="00CB4EBF" w:rsidRDefault="00CB4EBF" w:rsidP="00CB4EBF">
      <w:pPr>
        <w:pStyle w:val="ListParagraph"/>
        <w:numPr>
          <w:ilvl w:val="0"/>
          <w:numId w:val="11"/>
        </w:numPr>
        <w:spacing w:after="0"/>
        <w:jc w:val="both"/>
        <w:rPr>
          <w:rFonts w:cs="Times New Roman"/>
          <w:sz w:val="20"/>
          <w:szCs w:val="20"/>
        </w:rPr>
      </w:pPr>
      <w:r>
        <w:rPr>
          <w:rFonts w:cs="Times New Roman"/>
          <w:sz w:val="20"/>
          <w:szCs w:val="20"/>
          <w:lang w:val="hr"/>
        </w:rPr>
        <w:t>nevladine organizacije u javnom ili privatnom vlasništvu,</w:t>
      </w:r>
    </w:p>
    <w:p w14:paraId="205FA120" w14:textId="77777777" w:rsidR="00CB4EBF" w:rsidRPr="00872C85" w:rsidRDefault="00CB4EBF" w:rsidP="00CB4EBF">
      <w:pPr>
        <w:pStyle w:val="ListParagraph"/>
        <w:numPr>
          <w:ilvl w:val="0"/>
          <w:numId w:val="11"/>
        </w:numPr>
        <w:spacing w:after="0"/>
        <w:jc w:val="both"/>
        <w:rPr>
          <w:rFonts w:cs="Times New Roman"/>
          <w:sz w:val="20"/>
          <w:szCs w:val="20"/>
        </w:rPr>
      </w:pPr>
      <w:r>
        <w:rPr>
          <w:rFonts w:cs="Times New Roman"/>
          <w:sz w:val="20"/>
          <w:szCs w:val="20"/>
          <w:lang w:val="hr"/>
        </w:rPr>
        <w:t>obrazovne institucije,</w:t>
      </w:r>
    </w:p>
    <w:p w14:paraId="0FB51727" w14:textId="77777777" w:rsidR="00CB4EBF" w:rsidRPr="001C431F" w:rsidRDefault="00CB4EBF" w:rsidP="00CB4EBF">
      <w:pPr>
        <w:spacing w:after="0" w:line="259" w:lineRule="auto"/>
        <w:jc w:val="both"/>
        <w:rPr>
          <w:rFonts w:cs="Times New Roman"/>
          <w:sz w:val="20"/>
          <w:szCs w:val="20"/>
        </w:rPr>
      </w:pPr>
    </w:p>
    <w:p w14:paraId="3145F46F" w14:textId="77777777" w:rsidR="00CB4EBF" w:rsidRPr="00104A57" w:rsidRDefault="00CB4EBF" w:rsidP="00CB4EBF">
      <w:pPr>
        <w:spacing w:after="0" w:line="259" w:lineRule="auto"/>
        <w:jc w:val="both"/>
        <w:rPr>
          <w:rFonts w:cs="Times New Roman"/>
          <w:sz w:val="20"/>
          <w:szCs w:val="20"/>
        </w:rPr>
      </w:pPr>
      <w:r>
        <w:rPr>
          <w:rFonts w:cs="Times New Roman"/>
          <w:sz w:val="20"/>
          <w:szCs w:val="20"/>
          <w:lang w:val="hr"/>
        </w:rPr>
        <w:t xml:space="preserve">Neizravne ciljne skupine jesu: </w:t>
      </w:r>
    </w:p>
    <w:p w14:paraId="63BF01D1" w14:textId="77777777" w:rsidR="00CB4EBF" w:rsidRPr="00872C85" w:rsidRDefault="00CB4EBF" w:rsidP="00CB4EBF">
      <w:pPr>
        <w:pStyle w:val="ListParagraph"/>
        <w:numPr>
          <w:ilvl w:val="0"/>
          <w:numId w:val="11"/>
        </w:numPr>
        <w:spacing w:after="0"/>
        <w:jc w:val="both"/>
        <w:rPr>
          <w:rFonts w:cs="Times New Roman"/>
          <w:sz w:val="20"/>
          <w:szCs w:val="20"/>
        </w:rPr>
      </w:pPr>
      <w:r>
        <w:rPr>
          <w:rFonts w:cs="Times New Roman"/>
          <w:sz w:val="20"/>
          <w:szCs w:val="20"/>
          <w:lang w:val="hr"/>
        </w:rPr>
        <w:t xml:space="preserve">vlasnici zemljišta, </w:t>
      </w:r>
    </w:p>
    <w:p w14:paraId="31B5914F" w14:textId="77777777" w:rsidR="00CB4EBF" w:rsidRDefault="00CB4EBF" w:rsidP="00CB4EBF">
      <w:pPr>
        <w:pStyle w:val="ListParagraph"/>
        <w:numPr>
          <w:ilvl w:val="0"/>
          <w:numId w:val="11"/>
        </w:numPr>
        <w:spacing w:after="0"/>
        <w:jc w:val="both"/>
        <w:rPr>
          <w:rFonts w:cs="Times New Roman"/>
          <w:sz w:val="20"/>
          <w:szCs w:val="20"/>
        </w:rPr>
      </w:pPr>
      <w:r>
        <w:rPr>
          <w:rFonts w:cs="Times New Roman"/>
          <w:sz w:val="20"/>
          <w:szCs w:val="20"/>
          <w:lang w:val="hr"/>
        </w:rPr>
        <w:t>poljoprivredni proizvođači,</w:t>
      </w:r>
    </w:p>
    <w:p w14:paraId="1D944A22" w14:textId="77777777" w:rsidR="00CB4EBF" w:rsidRDefault="00CB4EBF" w:rsidP="00CB4EBF">
      <w:pPr>
        <w:pStyle w:val="ListParagraph"/>
        <w:numPr>
          <w:ilvl w:val="0"/>
          <w:numId w:val="11"/>
        </w:numPr>
        <w:spacing w:after="0"/>
        <w:jc w:val="both"/>
        <w:rPr>
          <w:rFonts w:cs="Times New Roman"/>
          <w:sz w:val="20"/>
          <w:szCs w:val="20"/>
        </w:rPr>
      </w:pPr>
      <w:r>
        <w:rPr>
          <w:rFonts w:cs="Times New Roman"/>
          <w:sz w:val="20"/>
          <w:szCs w:val="20"/>
          <w:lang w:val="hr"/>
        </w:rPr>
        <w:t>lokalno stanovništvo,</w:t>
      </w:r>
    </w:p>
    <w:p w14:paraId="5CECCA4C" w14:textId="77777777" w:rsidR="00CB4EBF" w:rsidRDefault="00CB4EBF" w:rsidP="00CB4EBF">
      <w:pPr>
        <w:pStyle w:val="ListParagraph"/>
        <w:numPr>
          <w:ilvl w:val="0"/>
          <w:numId w:val="11"/>
        </w:numPr>
        <w:spacing w:after="0"/>
        <w:jc w:val="both"/>
        <w:rPr>
          <w:rFonts w:cs="Times New Roman"/>
          <w:sz w:val="20"/>
          <w:szCs w:val="20"/>
        </w:rPr>
      </w:pPr>
      <w:r>
        <w:rPr>
          <w:rFonts w:cs="Times New Roman"/>
          <w:sz w:val="20"/>
          <w:szCs w:val="20"/>
          <w:lang w:val="hr"/>
        </w:rPr>
        <w:t xml:space="preserve"> studenti, učenici,</w:t>
      </w:r>
    </w:p>
    <w:p w14:paraId="0319BE8C" w14:textId="77777777" w:rsidR="00CB4EBF" w:rsidRDefault="00CB4EBF" w:rsidP="00CB4EBF">
      <w:pPr>
        <w:pStyle w:val="ListParagraph"/>
        <w:numPr>
          <w:ilvl w:val="0"/>
          <w:numId w:val="11"/>
        </w:numPr>
        <w:spacing w:after="0"/>
        <w:jc w:val="both"/>
        <w:rPr>
          <w:rFonts w:cs="Times New Roman"/>
          <w:sz w:val="20"/>
          <w:szCs w:val="20"/>
        </w:rPr>
      </w:pPr>
      <w:r>
        <w:rPr>
          <w:rFonts w:cs="Times New Roman"/>
          <w:sz w:val="20"/>
          <w:szCs w:val="20"/>
          <w:lang w:val="hr"/>
        </w:rPr>
        <w:t>turisti i posjetitelji na tom području</w:t>
      </w:r>
    </w:p>
    <w:p w14:paraId="0DAFBAC8" w14:textId="77777777" w:rsidR="00CB4EBF" w:rsidRDefault="00CB4EBF" w:rsidP="00CB4EBF">
      <w:pPr>
        <w:spacing w:after="0" w:line="259" w:lineRule="auto"/>
        <w:jc w:val="both"/>
        <w:rPr>
          <w:rFonts w:cs="Times New Roman"/>
          <w:sz w:val="20"/>
          <w:szCs w:val="20"/>
        </w:rPr>
      </w:pPr>
    </w:p>
    <w:p w14:paraId="299D4DCC"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r>
        <w:rPr>
          <w:rFonts w:eastAsia="Times New Roman" w:cs="Times New Roman"/>
          <w:b/>
          <w:bCs/>
          <w:noProof/>
          <w:sz w:val="20"/>
          <w:szCs w:val="20"/>
          <w:lang w:val="hr"/>
        </w:rPr>
        <w:t>Posebna ciljna područja, uključujući planiranu upotrebu ITI-ja, CLLD-a ili drugih teritorijalnih alata</w:t>
      </w:r>
    </w:p>
    <w:p w14:paraId="12BE4C00"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i/>
          <w:iCs/>
          <w:noProof/>
          <w:color w:val="000000"/>
          <w:sz w:val="20"/>
          <w:szCs w:val="20"/>
          <w:lang w:val="hr"/>
        </w:rPr>
        <w:t>Upućivanje: članak 17. stavak 3. točka (e) podtočka iv.</w:t>
      </w:r>
    </w:p>
    <w:p w14:paraId="29765B04" w14:textId="77777777" w:rsidR="00CB4EBF" w:rsidRDefault="00CB4EBF" w:rsidP="00CB4EBF">
      <w:pPr>
        <w:spacing w:after="0" w:line="259" w:lineRule="auto"/>
        <w:jc w:val="both"/>
        <w:rPr>
          <w:rFonts w:cs="Times New Roman"/>
          <w:sz w:val="20"/>
          <w:szCs w:val="20"/>
        </w:rPr>
      </w:pPr>
    </w:p>
    <w:p w14:paraId="3C8E7914" w14:textId="77777777" w:rsidR="00CB4EBF" w:rsidRPr="001C431F" w:rsidRDefault="00CB4EBF" w:rsidP="00CB4EBF">
      <w:pPr>
        <w:spacing w:after="0" w:line="259" w:lineRule="auto"/>
        <w:jc w:val="both"/>
        <w:rPr>
          <w:rFonts w:cs="Times New Roman"/>
          <w:sz w:val="20"/>
          <w:szCs w:val="20"/>
        </w:rPr>
      </w:pPr>
      <w:r>
        <w:rPr>
          <w:rFonts w:cs="Times New Roman"/>
          <w:sz w:val="20"/>
          <w:szCs w:val="20"/>
          <w:lang w:val="hr"/>
        </w:rPr>
        <w:t xml:space="preserve">Svim je intervencijama ciljano cijelo programsko područje, međutim, naglasak će biti na dijelovima pograničnih područja i područjima s visokom ekološkom vrijednošću. </w:t>
      </w:r>
    </w:p>
    <w:p w14:paraId="40C7B8D3"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p>
    <w:p w14:paraId="490A5835"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r>
        <w:rPr>
          <w:rFonts w:eastAsia="Times New Roman" w:cs="Times New Roman"/>
          <w:b/>
          <w:bCs/>
          <w:noProof/>
          <w:sz w:val="20"/>
          <w:szCs w:val="20"/>
          <w:lang w:val="hr"/>
        </w:rPr>
        <w:t>Planirana upotreba financijskih instrumenata</w:t>
      </w:r>
    </w:p>
    <w:p w14:paraId="2CE6D620"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i/>
          <w:iCs/>
          <w:noProof/>
          <w:color w:val="000000"/>
          <w:sz w:val="20"/>
          <w:szCs w:val="20"/>
          <w:lang w:val="hr"/>
        </w:rPr>
        <w:t>Upućivanje: članak 17. stavak 3. točka (e) podtočka v.</w:t>
      </w:r>
    </w:p>
    <w:p w14:paraId="2EB1608B" w14:textId="77777777" w:rsidR="00CB4EBF" w:rsidRPr="001C431F" w:rsidRDefault="00CB4EBF" w:rsidP="00CB4EBF">
      <w:pPr>
        <w:spacing w:after="0" w:line="259" w:lineRule="auto"/>
        <w:jc w:val="both"/>
        <w:rPr>
          <w:rFonts w:cs="Times New Roman"/>
          <w:sz w:val="20"/>
          <w:szCs w:val="20"/>
        </w:rPr>
      </w:pPr>
      <w:r>
        <w:rPr>
          <w:rFonts w:cs="Times New Roman"/>
          <w:sz w:val="20"/>
          <w:szCs w:val="20"/>
          <w:lang w:val="hr"/>
        </w:rPr>
        <w:t>Neće se upotrebljavati financijski instrumenti.</w:t>
      </w:r>
    </w:p>
    <w:p w14:paraId="65D182F2"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p>
    <w:p w14:paraId="31995E93"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r>
        <w:rPr>
          <w:rFonts w:eastAsia="Times New Roman" w:cs="Times New Roman"/>
          <w:b/>
          <w:bCs/>
          <w:noProof/>
          <w:sz w:val="20"/>
          <w:szCs w:val="20"/>
          <w:lang w:val="hr"/>
        </w:rPr>
        <w:t>Okvirna raščlamba sredstava programa EU-a prema vrsti intervencije</w:t>
      </w:r>
    </w:p>
    <w:p w14:paraId="63CDED04" w14:textId="77777777" w:rsidR="00CB4EBF" w:rsidRPr="001C431F" w:rsidRDefault="00CB4EBF" w:rsidP="00CB4EBF">
      <w:pPr>
        <w:spacing w:after="0" w:line="240" w:lineRule="auto"/>
        <w:jc w:val="both"/>
        <w:rPr>
          <w:rFonts w:cs="Times New Roman"/>
          <w:i/>
          <w:color w:val="000000"/>
          <w:sz w:val="20"/>
          <w:szCs w:val="20"/>
        </w:rPr>
      </w:pPr>
      <w:r>
        <w:rPr>
          <w:rFonts w:cs="Times New Roman"/>
          <w:i/>
          <w:iCs/>
          <w:color w:val="000000"/>
          <w:sz w:val="20"/>
          <w:szCs w:val="20"/>
          <w:lang w:val="hr"/>
        </w:rPr>
        <w:t xml:space="preserve">Upućivanje: </w:t>
      </w:r>
      <w:r>
        <w:rPr>
          <w:rFonts w:cs="Times New Roman"/>
          <w:i/>
          <w:iCs/>
          <w:noProof/>
          <w:color w:val="000000"/>
          <w:sz w:val="20"/>
          <w:szCs w:val="20"/>
          <w:lang w:val="hr"/>
        </w:rPr>
        <w:t>članak 17. stavak 3. točka (e) podtočka vi., članak 17. stavak 9. točka (c) podtočka v.</w:t>
      </w:r>
    </w:p>
    <w:p w14:paraId="6E0A9475"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noProof/>
          <w:sz w:val="20"/>
          <w:szCs w:val="20"/>
          <w:lang w:val="hr"/>
        </w:rPr>
        <w:t>Tablica 4.: Dimenzija 1. – područje intervencije</w:t>
      </w:r>
    </w:p>
    <w:tbl>
      <w:tblPr>
        <w:tblStyle w:val="TableGrid"/>
        <w:tblW w:w="0" w:type="auto"/>
        <w:tblLook w:val="04A0" w:firstRow="1" w:lastRow="0" w:firstColumn="1" w:lastColumn="0" w:noHBand="0" w:noVBand="1"/>
      </w:tblPr>
      <w:tblGrid>
        <w:gridCol w:w="1829"/>
        <w:gridCol w:w="1611"/>
        <w:gridCol w:w="1859"/>
        <w:gridCol w:w="1189"/>
        <w:gridCol w:w="2572"/>
      </w:tblGrid>
      <w:tr w:rsidR="00CB4EBF" w:rsidRPr="00A23750" w14:paraId="124553C7" w14:textId="77777777" w:rsidTr="0054762C">
        <w:tc>
          <w:tcPr>
            <w:tcW w:w="1870" w:type="dxa"/>
          </w:tcPr>
          <w:p w14:paraId="26EE3CD3"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Prioritet br.</w:t>
            </w:r>
          </w:p>
        </w:tc>
        <w:tc>
          <w:tcPr>
            <w:tcW w:w="1657" w:type="dxa"/>
          </w:tcPr>
          <w:p w14:paraId="1CA028EC"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Fond</w:t>
            </w:r>
          </w:p>
        </w:tc>
        <w:tc>
          <w:tcPr>
            <w:tcW w:w="1898" w:type="dxa"/>
          </w:tcPr>
          <w:p w14:paraId="474E9709"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Specifični cilj</w:t>
            </w:r>
          </w:p>
        </w:tc>
        <w:tc>
          <w:tcPr>
            <w:tcW w:w="1204" w:type="dxa"/>
          </w:tcPr>
          <w:p w14:paraId="2D05220A"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 xml:space="preserve">Oznaka </w:t>
            </w:r>
          </w:p>
        </w:tc>
        <w:tc>
          <w:tcPr>
            <w:tcW w:w="2659" w:type="dxa"/>
          </w:tcPr>
          <w:p w14:paraId="38F7B772"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Iznos (EUR)</w:t>
            </w:r>
          </w:p>
        </w:tc>
      </w:tr>
    </w:tbl>
    <w:tbl>
      <w:tblPr>
        <w:tblStyle w:val="TableGrid1"/>
        <w:tblW w:w="9062" w:type="dxa"/>
        <w:tblLook w:val="04A0" w:firstRow="1" w:lastRow="0" w:firstColumn="1" w:lastColumn="0" w:noHBand="0" w:noVBand="1"/>
      </w:tblPr>
      <w:tblGrid>
        <w:gridCol w:w="1798"/>
        <w:gridCol w:w="1599"/>
        <w:gridCol w:w="1833"/>
        <w:gridCol w:w="1294"/>
        <w:gridCol w:w="2538"/>
      </w:tblGrid>
      <w:tr w:rsidR="00CB4EBF" w:rsidRPr="00A23750" w14:paraId="1E630A42" w14:textId="77777777" w:rsidTr="0054762C">
        <w:tc>
          <w:tcPr>
            <w:tcW w:w="1798" w:type="dxa"/>
          </w:tcPr>
          <w:p w14:paraId="08ABB816" w14:textId="77777777" w:rsidR="00CB4EBF" w:rsidRPr="001C431F" w:rsidRDefault="00CB4EBF" w:rsidP="0054762C">
            <w:pPr>
              <w:rPr>
                <w:rFonts w:eastAsia="Times New Roman" w:cs="Times New Roman"/>
                <w:iCs/>
                <w:noProof/>
                <w:sz w:val="20"/>
                <w:szCs w:val="20"/>
              </w:rPr>
            </w:pPr>
            <w:r>
              <w:rPr>
                <w:rFonts w:eastAsia="Times New Roman" w:cs="Times New Roman"/>
                <w:noProof/>
                <w:sz w:val="20"/>
                <w:szCs w:val="20"/>
                <w:lang w:val="hr"/>
              </w:rPr>
              <w:t>2</w:t>
            </w:r>
          </w:p>
        </w:tc>
        <w:tc>
          <w:tcPr>
            <w:tcW w:w="1599" w:type="dxa"/>
          </w:tcPr>
          <w:p w14:paraId="3EC1DFB6" w14:textId="77777777" w:rsidR="00CB4EBF" w:rsidRPr="001C431F" w:rsidRDefault="00CB4EBF" w:rsidP="0054762C">
            <w:pPr>
              <w:rPr>
                <w:rFonts w:eastAsia="Times New Roman" w:cs="Times New Roman"/>
                <w:iCs/>
                <w:noProof/>
                <w:sz w:val="20"/>
                <w:szCs w:val="20"/>
              </w:rPr>
            </w:pPr>
            <w:r>
              <w:rPr>
                <w:rFonts w:eastAsia="Times New Roman" w:cs="Times New Roman"/>
                <w:noProof/>
                <w:sz w:val="20"/>
                <w:szCs w:val="20"/>
                <w:lang w:val="hr"/>
              </w:rPr>
              <w:t>EFRR</w:t>
            </w:r>
          </w:p>
        </w:tc>
        <w:tc>
          <w:tcPr>
            <w:tcW w:w="1833" w:type="dxa"/>
          </w:tcPr>
          <w:p w14:paraId="2EB01A0B" w14:textId="77777777" w:rsidR="00CB4EBF" w:rsidRDefault="00CB4EBF" w:rsidP="0054762C">
            <w:pPr>
              <w:rPr>
                <w:rFonts w:eastAsia="Times New Roman" w:cs="Times New Roman"/>
                <w:iCs/>
                <w:noProof/>
                <w:sz w:val="20"/>
                <w:szCs w:val="20"/>
              </w:rPr>
            </w:pPr>
            <w:r>
              <w:rPr>
                <w:rFonts w:eastAsia="Times New Roman" w:cs="Times New Roman"/>
                <w:noProof/>
                <w:sz w:val="20"/>
                <w:szCs w:val="20"/>
                <w:lang w:val="hr"/>
              </w:rPr>
              <w:t>SO 2.4</w:t>
            </w:r>
          </w:p>
        </w:tc>
        <w:tc>
          <w:tcPr>
            <w:tcW w:w="1294" w:type="dxa"/>
          </w:tcPr>
          <w:p w14:paraId="34E3D211" w14:textId="77777777" w:rsidR="00CB4EBF" w:rsidRDefault="00CB4EBF" w:rsidP="0054762C">
            <w:pPr>
              <w:rPr>
                <w:rFonts w:eastAsia="Times New Roman" w:cs="Times New Roman"/>
                <w:iCs/>
                <w:noProof/>
                <w:sz w:val="20"/>
                <w:szCs w:val="20"/>
              </w:rPr>
            </w:pPr>
            <w:r>
              <w:rPr>
                <w:rFonts w:eastAsia="Times New Roman" w:cs="Times New Roman"/>
                <w:noProof/>
                <w:sz w:val="20"/>
                <w:szCs w:val="20"/>
                <w:lang w:val="hr"/>
              </w:rPr>
              <w:t>058 Prilagodba mjerama klimatskih promjena i sprječavanje rizika povezanih s klimom te njihovo upravljanje: poplave i klizišta</w:t>
            </w:r>
          </w:p>
        </w:tc>
        <w:tc>
          <w:tcPr>
            <w:tcW w:w="2538" w:type="dxa"/>
          </w:tcPr>
          <w:p w14:paraId="22FEA740" w14:textId="77777777" w:rsidR="00CB4EBF" w:rsidRPr="001C431F" w:rsidRDefault="00CB4EBF" w:rsidP="0054762C">
            <w:pPr>
              <w:rPr>
                <w:rFonts w:eastAsia="Times New Roman" w:cs="Times New Roman"/>
                <w:iCs/>
                <w:noProof/>
                <w:sz w:val="20"/>
                <w:szCs w:val="20"/>
              </w:rPr>
            </w:pPr>
            <w:r>
              <w:rPr>
                <w:rFonts w:eastAsia="Times New Roman" w:cs="Times New Roman"/>
                <w:noProof/>
                <w:sz w:val="20"/>
                <w:szCs w:val="20"/>
                <w:lang w:val="hr"/>
              </w:rPr>
              <w:t>9 491 000,00</w:t>
            </w:r>
          </w:p>
        </w:tc>
      </w:tr>
    </w:tbl>
    <w:p w14:paraId="588D4ECE" w14:textId="77777777" w:rsidR="00CB4EBF" w:rsidRPr="001C431F" w:rsidRDefault="00CB4EBF" w:rsidP="00CB4EBF">
      <w:pPr>
        <w:spacing w:after="0" w:line="240" w:lineRule="auto"/>
        <w:jc w:val="both"/>
        <w:rPr>
          <w:rFonts w:eastAsia="Times New Roman" w:cs="Times New Roman"/>
          <w:iCs/>
          <w:noProof/>
          <w:sz w:val="20"/>
          <w:szCs w:val="20"/>
        </w:rPr>
      </w:pPr>
    </w:p>
    <w:p w14:paraId="401523F4"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noProof/>
          <w:sz w:val="20"/>
          <w:szCs w:val="20"/>
          <w:lang w:val="hr"/>
        </w:rPr>
        <w:t>Tablica 5.: Dimenzija 2. – oblik financiranja</w:t>
      </w:r>
    </w:p>
    <w:tbl>
      <w:tblPr>
        <w:tblStyle w:val="TableGrid"/>
        <w:tblW w:w="0" w:type="auto"/>
        <w:tblLook w:val="04A0" w:firstRow="1" w:lastRow="0" w:firstColumn="1" w:lastColumn="0" w:noHBand="0" w:noVBand="1"/>
      </w:tblPr>
      <w:tblGrid>
        <w:gridCol w:w="1829"/>
        <w:gridCol w:w="1611"/>
        <w:gridCol w:w="1859"/>
        <w:gridCol w:w="1189"/>
        <w:gridCol w:w="2572"/>
      </w:tblGrid>
      <w:tr w:rsidR="00CB4EBF" w:rsidRPr="00A23750" w14:paraId="10B43302" w14:textId="77777777" w:rsidTr="0054762C">
        <w:tc>
          <w:tcPr>
            <w:tcW w:w="1870" w:type="dxa"/>
          </w:tcPr>
          <w:p w14:paraId="06112FCB"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Prioritet br.</w:t>
            </w:r>
          </w:p>
        </w:tc>
        <w:tc>
          <w:tcPr>
            <w:tcW w:w="1657" w:type="dxa"/>
          </w:tcPr>
          <w:p w14:paraId="5C6344A7"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Fond</w:t>
            </w:r>
          </w:p>
        </w:tc>
        <w:tc>
          <w:tcPr>
            <w:tcW w:w="1898" w:type="dxa"/>
          </w:tcPr>
          <w:p w14:paraId="674DA690"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Specifični cilj</w:t>
            </w:r>
          </w:p>
        </w:tc>
        <w:tc>
          <w:tcPr>
            <w:tcW w:w="1204" w:type="dxa"/>
          </w:tcPr>
          <w:p w14:paraId="28FBD1BC"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 xml:space="preserve">Oznaka </w:t>
            </w:r>
          </w:p>
        </w:tc>
        <w:tc>
          <w:tcPr>
            <w:tcW w:w="2659" w:type="dxa"/>
          </w:tcPr>
          <w:p w14:paraId="5FA9D098"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Iznos (EUR)</w:t>
            </w:r>
          </w:p>
        </w:tc>
      </w:tr>
    </w:tbl>
    <w:tbl>
      <w:tblPr>
        <w:tblStyle w:val="TableGrid1"/>
        <w:tblW w:w="9062" w:type="dxa"/>
        <w:tblLook w:val="04A0" w:firstRow="1" w:lastRow="0" w:firstColumn="1" w:lastColumn="0" w:noHBand="0" w:noVBand="1"/>
      </w:tblPr>
      <w:tblGrid>
        <w:gridCol w:w="1816"/>
        <w:gridCol w:w="1610"/>
        <w:gridCol w:w="1847"/>
        <w:gridCol w:w="1216"/>
        <w:gridCol w:w="2573"/>
      </w:tblGrid>
      <w:tr w:rsidR="00CB4EBF" w:rsidRPr="00A23750" w14:paraId="297AD6EF" w14:textId="77777777" w:rsidTr="0054762C">
        <w:tc>
          <w:tcPr>
            <w:tcW w:w="1827" w:type="dxa"/>
          </w:tcPr>
          <w:p w14:paraId="6C159AC2" w14:textId="77777777" w:rsidR="00CB4EBF" w:rsidRPr="001C431F" w:rsidRDefault="00CB4EBF" w:rsidP="0054762C">
            <w:pPr>
              <w:rPr>
                <w:rFonts w:eastAsia="Times New Roman" w:cs="Times New Roman"/>
                <w:iCs/>
                <w:noProof/>
                <w:sz w:val="20"/>
                <w:szCs w:val="20"/>
              </w:rPr>
            </w:pPr>
            <w:r>
              <w:rPr>
                <w:rFonts w:eastAsia="Times New Roman" w:cs="Times New Roman"/>
                <w:noProof/>
                <w:sz w:val="20"/>
                <w:szCs w:val="20"/>
                <w:lang w:val="hr"/>
              </w:rPr>
              <w:lastRenderedPageBreak/>
              <w:t>2</w:t>
            </w:r>
          </w:p>
        </w:tc>
        <w:tc>
          <w:tcPr>
            <w:tcW w:w="1616" w:type="dxa"/>
          </w:tcPr>
          <w:p w14:paraId="13DEE5D0" w14:textId="77777777" w:rsidR="00CB4EBF" w:rsidRPr="001C431F" w:rsidRDefault="00CB4EBF" w:rsidP="0054762C">
            <w:pPr>
              <w:rPr>
                <w:rFonts w:eastAsia="Times New Roman" w:cs="Times New Roman"/>
                <w:iCs/>
                <w:noProof/>
                <w:sz w:val="20"/>
                <w:szCs w:val="20"/>
              </w:rPr>
            </w:pPr>
            <w:r>
              <w:rPr>
                <w:rFonts w:eastAsia="Times New Roman" w:cs="Times New Roman"/>
                <w:noProof/>
                <w:sz w:val="20"/>
                <w:szCs w:val="20"/>
                <w:lang w:val="hr"/>
              </w:rPr>
              <w:t>EFRR</w:t>
            </w:r>
          </w:p>
        </w:tc>
        <w:tc>
          <w:tcPr>
            <w:tcW w:w="1857" w:type="dxa"/>
          </w:tcPr>
          <w:p w14:paraId="69230E3D" w14:textId="77777777" w:rsidR="00CB4EBF" w:rsidRPr="001C431F" w:rsidRDefault="00CB4EBF" w:rsidP="0054762C">
            <w:pPr>
              <w:rPr>
                <w:rFonts w:eastAsia="Times New Roman" w:cs="Times New Roman"/>
                <w:iCs/>
                <w:noProof/>
                <w:sz w:val="20"/>
                <w:szCs w:val="20"/>
              </w:rPr>
            </w:pPr>
            <w:r>
              <w:rPr>
                <w:rFonts w:eastAsia="Times New Roman" w:cs="Times New Roman"/>
                <w:noProof/>
                <w:sz w:val="20"/>
                <w:szCs w:val="20"/>
                <w:lang w:val="hr"/>
              </w:rPr>
              <w:t>SO 2.4</w:t>
            </w:r>
          </w:p>
        </w:tc>
        <w:tc>
          <w:tcPr>
            <w:tcW w:w="1180" w:type="dxa"/>
          </w:tcPr>
          <w:p w14:paraId="00E6246A" w14:textId="77777777" w:rsidR="00CB4EBF" w:rsidRPr="001C431F" w:rsidRDefault="00CB4EBF" w:rsidP="0054762C">
            <w:pPr>
              <w:rPr>
                <w:rFonts w:eastAsia="Times New Roman" w:cs="Times New Roman"/>
                <w:iCs/>
                <w:noProof/>
                <w:sz w:val="20"/>
                <w:szCs w:val="20"/>
              </w:rPr>
            </w:pPr>
            <w:r>
              <w:rPr>
                <w:rFonts w:eastAsia="Times New Roman" w:cs="Times New Roman"/>
                <w:noProof/>
                <w:sz w:val="20"/>
                <w:szCs w:val="20"/>
                <w:lang w:val="hr"/>
              </w:rPr>
              <w:t>01 Bespovratna sredstva</w:t>
            </w:r>
          </w:p>
        </w:tc>
        <w:tc>
          <w:tcPr>
            <w:tcW w:w="2582" w:type="dxa"/>
          </w:tcPr>
          <w:p w14:paraId="180F995A" w14:textId="77777777" w:rsidR="00CB4EBF" w:rsidRPr="001C431F" w:rsidRDefault="00CB4EBF" w:rsidP="0054762C">
            <w:pPr>
              <w:rPr>
                <w:rFonts w:cs="Times New Roman"/>
                <w:color w:val="000000"/>
                <w:sz w:val="20"/>
                <w:szCs w:val="20"/>
              </w:rPr>
            </w:pPr>
            <w:r>
              <w:rPr>
                <w:rFonts w:eastAsia="Times New Roman" w:cs="Times New Roman"/>
                <w:noProof/>
                <w:sz w:val="20"/>
                <w:szCs w:val="20"/>
                <w:lang w:val="hr"/>
              </w:rPr>
              <w:t>9 491 000,00</w:t>
            </w:r>
          </w:p>
        </w:tc>
      </w:tr>
    </w:tbl>
    <w:p w14:paraId="68944781" w14:textId="77777777" w:rsidR="00CB4EBF" w:rsidRPr="001C431F" w:rsidRDefault="00CB4EBF" w:rsidP="00CB4EBF">
      <w:pPr>
        <w:spacing w:after="0" w:line="240" w:lineRule="auto"/>
        <w:jc w:val="both"/>
        <w:rPr>
          <w:rFonts w:eastAsia="Times New Roman" w:cs="Times New Roman"/>
          <w:iCs/>
          <w:noProof/>
          <w:sz w:val="20"/>
          <w:szCs w:val="20"/>
        </w:rPr>
      </w:pPr>
    </w:p>
    <w:p w14:paraId="1B881CA9"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noProof/>
          <w:sz w:val="20"/>
          <w:szCs w:val="20"/>
          <w:lang w:val="hr"/>
        </w:rPr>
        <w:t>Tablica 6.: Dimenzija 3. – mehanizam teritorijalne provedbe i teritorijalni fokus</w:t>
      </w:r>
    </w:p>
    <w:tbl>
      <w:tblPr>
        <w:tblStyle w:val="TableGrid"/>
        <w:tblW w:w="0" w:type="auto"/>
        <w:tblLook w:val="04A0" w:firstRow="1" w:lastRow="0" w:firstColumn="1" w:lastColumn="0" w:noHBand="0" w:noVBand="1"/>
      </w:tblPr>
      <w:tblGrid>
        <w:gridCol w:w="1827"/>
        <w:gridCol w:w="1613"/>
        <w:gridCol w:w="1858"/>
        <w:gridCol w:w="1180"/>
        <w:gridCol w:w="2582"/>
      </w:tblGrid>
      <w:tr w:rsidR="00CB4EBF" w:rsidRPr="00A23750" w14:paraId="269DB16D" w14:textId="77777777" w:rsidTr="0054762C">
        <w:tc>
          <w:tcPr>
            <w:tcW w:w="1827" w:type="dxa"/>
          </w:tcPr>
          <w:p w14:paraId="4FC033B2"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Prioritet br.</w:t>
            </w:r>
          </w:p>
        </w:tc>
        <w:tc>
          <w:tcPr>
            <w:tcW w:w="1613" w:type="dxa"/>
          </w:tcPr>
          <w:p w14:paraId="1B8C0543"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Fond</w:t>
            </w:r>
          </w:p>
        </w:tc>
        <w:tc>
          <w:tcPr>
            <w:tcW w:w="1858" w:type="dxa"/>
          </w:tcPr>
          <w:p w14:paraId="65B2ADC2"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Specifični cilj</w:t>
            </w:r>
          </w:p>
        </w:tc>
        <w:tc>
          <w:tcPr>
            <w:tcW w:w="1180" w:type="dxa"/>
          </w:tcPr>
          <w:p w14:paraId="12C0E430"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 xml:space="preserve">Oznaka </w:t>
            </w:r>
          </w:p>
        </w:tc>
        <w:tc>
          <w:tcPr>
            <w:tcW w:w="2582" w:type="dxa"/>
          </w:tcPr>
          <w:p w14:paraId="0CFED0D2"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Iznos (EUR)</w:t>
            </w:r>
          </w:p>
        </w:tc>
      </w:tr>
    </w:tbl>
    <w:tbl>
      <w:tblPr>
        <w:tblStyle w:val="TableGrid1"/>
        <w:tblW w:w="9062" w:type="dxa"/>
        <w:tblLook w:val="04A0" w:firstRow="1" w:lastRow="0" w:firstColumn="1" w:lastColumn="0" w:noHBand="0" w:noVBand="1"/>
      </w:tblPr>
      <w:tblGrid>
        <w:gridCol w:w="1827"/>
        <w:gridCol w:w="1616"/>
        <w:gridCol w:w="1857"/>
        <w:gridCol w:w="1180"/>
        <w:gridCol w:w="2582"/>
      </w:tblGrid>
      <w:tr w:rsidR="00CB4EBF" w:rsidRPr="00A23750" w14:paraId="7D70E8F0" w14:textId="77777777" w:rsidTr="0054762C">
        <w:tc>
          <w:tcPr>
            <w:tcW w:w="1827" w:type="dxa"/>
          </w:tcPr>
          <w:p w14:paraId="0AAC71BA" w14:textId="77777777" w:rsidR="00CB4EBF" w:rsidRPr="001C431F" w:rsidRDefault="00CB4EBF" w:rsidP="0054762C">
            <w:pPr>
              <w:rPr>
                <w:rFonts w:eastAsia="Times New Roman" w:cs="Times New Roman"/>
                <w:iCs/>
                <w:noProof/>
                <w:sz w:val="20"/>
                <w:szCs w:val="20"/>
              </w:rPr>
            </w:pPr>
            <w:r>
              <w:rPr>
                <w:rFonts w:eastAsia="Times New Roman" w:cs="Times New Roman"/>
                <w:noProof/>
                <w:sz w:val="20"/>
                <w:szCs w:val="20"/>
                <w:lang w:val="hr"/>
              </w:rPr>
              <w:t>2</w:t>
            </w:r>
          </w:p>
        </w:tc>
        <w:tc>
          <w:tcPr>
            <w:tcW w:w="1616" w:type="dxa"/>
          </w:tcPr>
          <w:p w14:paraId="149398DB" w14:textId="77777777" w:rsidR="00CB4EBF" w:rsidRPr="001C431F" w:rsidRDefault="00CB4EBF" w:rsidP="0054762C">
            <w:pPr>
              <w:rPr>
                <w:rFonts w:eastAsia="Times New Roman" w:cs="Times New Roman"/>
                <w:iCs/>
                <w:noProof/>
                <w:sz w:val="20"/>
                <w:szCs w:val="20"/>
              </w:rPr>
            </w:pPr>
            <w:r>
              <w:rPr>
                <w:rFonts w:eastAsia="Times New Roman" w:cs="Times New Roman"/>
                <w:noProof/>
                <w:sz w:val="20"/>
                <w:szCs w:val="20"/>
                <w:lang w:val="hr"/>
              </w:rPr>
              <w:t>EFRR</w:t>
            </w:r>
          </w:p>
        </w:tc>
        <w:tc>
          <w:tcPr>
            <w:tcW w:w="1857" w:type="dxa"/>
          </w:tcPr>
          <w:p w14:paraId="7D5BCA71" w14:textId="77777777" w:rsidR="00CB4EBF" w:rsidRPr="001C431F" w:rsidRDefault="00CB4EBF" w:rsidP="0054762C">
            <w:pPr>
              <w:rPr>
                <w:rFonts w:eastAsia="Times New Roman" w:cs="Times New Roman"/>
                <w:iCs/>
                <w:noProof/>
                <w:sz w:val="20"/>
                <w:szCs w:val="20"/>
              </w:rPr>
            </w:pPr>
            <w:r>
              <w:rPr>
                <w:rFonts w:eastAsia="Times New Roman" w:cs="Times New Roman"/>
                <w:noProof/>
                <w:sz w:val="20"/>
                <w:szCs w:val="20"/>
                <w:lang w:val="hr"/>
              </w:rPr>
              <w:t>SO 2.4</w:t>
            </w:r>
          </w:p>
        </w:tc>
        <w:tc>
          <w:tcPr>
            <w:tcW w:w="1180" w:type="dxa"/>
          </w:tcPr>
          <w:p w14:paraId="45725CCB" w14:textId="77777777" w:rsidR="00CB4EBF" w:rsidRPr="001C431F" w:rsidRDefault="00CB4EBF" w:rsidP="0054762C">
            <w:pPr>
              <w:rPr>
                <w:rFonts w:eastAsia="Times New Roman" w:cs="Times New Roman"/>
                <w:iCs/>
                <w:noProof/>
                <w:sz w:val="20"/>
                <w:szCs w:val="20"/>
              </w:rPr>
            </w:pPr>
            <w:r>
              <w:rPr>
                <w:rFonts w:eastAsia="Times New Roman" w:cs="Times New Roman"/>
                <w:noProof/>
                <w:sz w:val="20"/>
                <w:szCs w:val="20"/>
                <w:lang w:val="hr"/>
              </w:rPr>
              <w:t>33 Bez ciljanog teritorija</w:t>
            </w:r>
          </w:p>
        </w:tc>
        <w:tc>
          <w:tcPr>
            <w:tcW w:w="2582" w:type="dxa"/>
          </w:tcPr>
          <w:p w14:paraId="4F5EA871" w14:textId="77777777" w:rsidR="00CB4EBF" w:rsidRPr="001C431F" w:rsidRDefault="00CB4EBF" w:rsidP="0054762C">
            <w:pPr>
              <w:rPr>
                <w:rFonts w:cs="Times New Roman"/>
                <w:color w:val="000000"/>
                <w:sz w:val="20"/>
                <w:szCs w:val="20"/>
              </w:rPr>
            </w:pPr>
            <w:r>
              <w:rPr>
                <w:rFonts w:eastAsia="Times New Roman" w:cs="Times New Roman"/>
                <w:noProof/>
                <w:sz w:val="20"/>
                <w:szCs w:val="20"/>
                <w:lang w:val="hr"/>
              </w:rPr>
              <w:t>9 491 000,00</w:t>
            </w:r>
          </w:p>
        </w:tc>
      </w:tr>
    </w:tbl>
    <w:p w14:paraId="6FA542FC" w14:textId="77777777" w:rsidR="00CB4EBF" w:rsidRPr="001C431F" w:rsidRDefault="00CB4EBF" w:rsidP="00CB4EBF">
      <w:pPr>
        <w:spacing w:after="0" w:line="240" w:lineRule="auto"/>
        <w:jc w:val="both"/>
        <w:rPr>
          <w:rFonts w:eastAsia="Times New Roman" w:cs="Times New Roman"/>
          <w:b/>
          <w:noProof/>
          <w:color w:val="000000"/>
          <w:sz w:val="20"/>
          <w:szCs w:val="20"/>
        </w:rPr>
      </w:pPr>
    </w:p>
    <w:p w14:paraId="3207AADE" w14:textId="77777777" w:rsidR="00CB4EBF" w:rsidRPr="001C431F" w:rsidRDefault="00CB4EBF" w:rsidP="00CB4EBF">
      <w:pPr>
        <w:rPr>
          <w:rFonts w:eastAsia="Times New Roman" w:cs="Times New Roman"/>
          <w:b/>
          <w:noProof/>
          <w:color w:val="000000"/>
          <w:sz w:val="20"/>
          <w:szCs w:val="20"/>
        </w:rPr>
      </w:pPr>
      <w:r>
        <w:rPr>
          <w:rFonts w:eastAsia="Times New Roman" w:cs="Times New Roman"/>
          <w:b/>
          <w:bCs/>
          <w:noProof/>
          <w:color w:val="000000"/>
          <w:sz w:val="20"/>
          <w:szCs w:val="20"/>
          <w:lang w:val="hr"/>
        </w:rPr>
        <w:br w:type="page"/>
      </w:r>
    </w:p>
    <w:p w14:paraId="6B32E116" w14:textId="77777777" w:rsidR="00CB4EBF" w:rsidRPr="001C431F" w:rsidRDefault="00CB4EBF" w:rsidP="00CB4EBF">
      <w:pPr>
        <w:spacing w:after="0" w:line="240" w:lineRule="auto"/>
        <w:jc w:val="both"/>
        <w:rPr>
          <w:rFonts w:eastAsia="Times New Roman" w:cs="Times New Roman"/>
          <w:b/>
          <w:noProof/>
          <w:color w:val="000000"/>
          <w:sz w:val="20"/>
          <w:szCs w:val="20"/>
        </w:rPr>
      </w:pPr>
      <w:r>
        <w:rPr>
          <w:rFonts w:eastAsia="Times New Roman" w:cs="Times New Roman"/>
          <w:b/>
          <w:bCs/>
          <w:noProof/>
          <w:color w:val="000000"/>
          <w:sz w:val="20"/>
          <w:szCs w:val="20"/>
          <w:lang w:val="hr"/>
        </w:rPr>
        <w:lastRenderedPageBreak/>
        <w:t>Prioritet br. 3. Uključiva pogranična regija</w:t>
      </w:r>
    </w:p>
    <w:p w14:paraId="19F1EC0D" w14:textId="77777777" w:rsidR="00CB4EBF" w:rsidRPr="001C431F" w:rsidRDefault="00CB4EBF" w:rsidP="00CB4EBF">
      <w:pPr>
        <w:spacing w:after="0" w:line="240" w:lineRule="auto"/>
        <w:jc w:val="both"/>
        <w:rPr>
          <w:rFonts w:eastAsia="Times New Roman" w:cs="Times New Roman"/>
          <w:b/>
          <w:noProof/>
          <w:color w:val="000000"/>
          <w:sz w:val="20"/>
          <w:szCs w:val="20"/>
        </w:rPr>
      </w:pPr>
      <w:r>
        <w:rPr>
          <w:rFonts w:eastAsia="Times New Roman" w:cs="Times New Roman"/>
          <w:i/>
          <w:iCs/>
          <w:noProof/>
          <w:color w:val="000000"/>
          <w:sz w:val="20"/>
          <w:szCs w:val="20"/>
          <w:lang w:val="hr"/>
        </w:rPr>
        <w:t>Upućivanje: članak 17. stavak 3. točka (d)</w:t>
      </w:r>
    </w:p>
    <w:p w14:paraId="70F9674A" w14:textId="77777777" w:rsidR="00CB4EBF" w:rsidRPr="001C431F" w:rsidRDefault="00CB4EBF" w:rsidP="00CB4EBF">
      <w:pPr>
        <w:pStyle w:val="Default"/>
        <w:jc w:val="both"/>
        <w:rPr>
          <w:b/>
          <w:sz w:val="20"/>
          <w:szCs w:val="20"/>
        </w:rPr>
      </w:pPr>
    </w:p>
    <w:p w14:paraId="2AFC8768" w14:textId="77777777" w:rsidR="00CB4EBF" w:rsidRPr="001C431F" w:rsidRDefault="00CB4EBF" w:rsidP="00CB4EBF">
      <w:pPr>
        <w:pStyle w:val="Default"/>
        <w:jc w:val="both"/>
        <w:rPr>
          <w:sz w:val="20"/>
          <w:szCs w:val="20"/>
        </w:rPr>
      </w:pPr>
      <w:r>
        <w:rPr>
          <w:rFonts w:eastAsia="Times New Roman"/>
          <w:b/>
          <w:bCs/>
          <w:sz w:val="20"/>
          <w:szCs w:val="20"/>
          <w:lang w:val="hr"/>
        </w:rPr>
        <w:t>vi. Jačanje uloge kulture i održivog turizma u gospodarskom razvoju, socijalnoj uključenosti i socijalnim inovacijama</w:t>
      </w:r>
    </w:p>
    <w:p w14:paraId="34E36EA2"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i/>
          <w:iCs/>
          <w:noProof/>
          <w:color w:val="000000"/>
          <w:sz w:val="20"/>
          <w:szCs w:val="20"/>
          <w:lang w:val="hr"/>
        </w:rPr>
        <w:t>Upućivanje: članak 17. stavak 3. točka (e)</w:t>
      </w:r>
    </w:p>
    <w:p w14:paraId="14180C21"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p>
    <w:p w14:paraId="79960834" w14:textId="77777777" w:rsidR="00CB4EBF" w:rsidRPr="001C431F" w:rsidRDefault="00CB4EBF" w:rsidP="00CB4EBF">
      <w:pPr>
        <w:pStyle w:val="Default"/>
        <w:jc w:val="both"/>
        <w:rPr>
          <w:rFonts w:eastAsia="Times New Roman"/>
          <w:b/>
          <w:bCs/>
          <w:sz w:val="20"/>
          <w:szCs w:val="20"/>
        </w:rPr>
      </w:pPr>
      <w:r>
        <w:rPr>
          <w:rFonts w:eastAsia="Times New Roman"/>
          <w:b/>
          <w:bCs/>
          <w:sz w:val="20"/>
          <w:szCs w:val="20"/>
          <w:lang w:val="hr"/>
        </w:rPr>
        <w:t xml:space="preserve">Povezane vrste djelovanja i njihov očekivani doprinos tim specifičnim ciljevima i </w:t>
      </w:r>
      <w:proofErr w:type="spellStart"/>
      <w:r>
        <w:rPr>
          <w:rFonts w:eastAsia="Times New Roman"/>
          <w:b/>
          <w:bCs/>
          <w:sz w:val="20"/>
          <w:szCs w:val="20"/>
          <w:lang w:val="hr"/>
        </w:rPr>
        <w:t>makroregionalnim</w:t>
      </w:r>
      <w:proofErr w:type="spellEnd"/>
      <w:r>
        <w:rPr>
          <w:rFonts w:eastAsia="Times New Roman"/>
          <w:b/>
          <w:bCs/>
          <w:sz w:val="20"/>
          <w:szCs w:val="20"/>
          <w:lang w:val="hr"/>
        </w:rPr>
        <w:t xml:space="preserve"> strategijama te strategijama morskih bazena, prema potrebi</w:t>
      </w:r>
    </w:p>
    <w:p w14:paraId="0BC5B844" w14:textId="77777777" w:rsidR="00CB4EBF" w:rsidRDefault="00CB4EBF" w:rsidP="00CB4EBF">
      <w:pPr>
        <w:spacing w:after="0" w:line="240" w:lineRule="auto"/>
        <w:jc w:val="both"/>
        <w:rPr>
          <w:rFonts w:eastAsia="Times New Roman" w:cs="Times New Roman"/>
          <w:i/>
          <w:noProof/>
          <w:color w:val="000000"/>
          <w:sz w:val="20"/>
          <w:szCs w:val="20"/>
        </w:rPr>
      </w:pPr>
      <w:r>
        <w:rPr>
          <w:rFonts w:eastAsia="Times New Roman" w:cs="Times New Roman"/>
          <w:i/>
          <w:iCs/>
          <w:noProof/>
          <w:color w:val="000000"/>
          <w:sz w:val="20"/>
          <w:szCs w:val="20"/>
          <w:lang w:val="hr"/>
        </w:rPr>
        <w:t>Upućivanje: članak 17. stavak 3. točka (e) podtočka i., članak 17. stavak 9. točka (c) podtočka ii.</w:t>
      </w:r>
    </w:p>
    <w:p w14:paraId="3B3AC878" w14:textId="77777777" w:rsidR="00CB4EBF" w:rsidRDefault="00CB4EBF" w:rsidP="00CB4EBF">
      <w:pPr>
        <w:spacing w:after="0" w:line="240" w:lineRule="auto"/>
        <w:jc w:val="both"/>
        <w:rPr>
          <w:rFonts w:eastAsia="Times New Roman" w:cs="Times New Roman"/>
          <w:noProof/>
          <w:color w:val="000000"/>
          <w:sz w:val="20"/>
          <w:szCs w:val="20"/>
        </w:rPr>
      </w:pPr>
    </w:p>
    <w:p w14:paraId="59296D2C" w14:textId="77777777" w:rsidR="00CB4EBF" w:rsidRDefault="00CB4EBF" w:rsidP="00CB4EBF">
      <w:p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Očekivani rezultati:</w:t>
      </w:r>
    </w:p>
    <w:p w14:paraId="254E1910" w14:textId="77777777" w:rsidR="00CB4EBF" w:rsidRDefault="00CB4EBF" w:rsidP="00CB4EBF">
      <w:pPr>
        <w:spacing w:after="0" w:line="240" w:lineRule="auto"/>
        <w:jc w:val="both"/>
        <w:rPr>
          <w:rFonts w:eastAsia="Times New Roman" w:cs="Times New Roman"/>
          <w:noProof/>
          <w:color w:val="000000"/>
          <w:sz w:val="20"/>
          <w:szCs w:val="20"/>
        </w:rPr>
      </w:pPr>
      <w:r>
        <w:rPr>
          <w:rFonts w:eastAsia="Times New Roman" w:cs="Times New Roman"/>
          <w:sz w:val="20"/>
          <w:szCs w:val="20"/>
          <w:lang w:val="hr"/>
        </w:rPr>
        <w:t>Očekuje se da projekti koji prime potporu za posljedicu imati povećanje kvalitete turističke infrastrukture, atrakcija i usluga, poboljšanu vidljivost pograničnog područja kao manje poznate, ali nove ekološke destinacije koja postaje istaknuti prekogranični turistički proizvod.</w:t>
      </w:r>
    </w:p>
    <w:p w14:paraId="402439C1" w14:textId="77777777" w:rsidR="00CB4EBF" w:rsidRDefault="00CB4EBF" w:rsidP="00CB4EBF">
      <w:pPr>
        <w:spacing w:after="0" w:line="240" w:lineRule="auto"/>
        <w:jc w:val="both"/>
        <w:rPr>
          <w:rFonts w:eastAsia="Times New Roman" w:cs="Times New Roman"/>
          <w:sz w:val="20"/>
          <w:szCs w:val="20"/>
        </w:rPr>
      </w:pPr>
    </w:p>
    <w:p w14:paraId="48C86AC5" w14:textId="77777777" w:rsidR="00CB4EBF" w:rsidRDefault="00CB4EBF" w:rsidP="00CB4EBF">
      <w:pPr>
        <w:spacing w:after="0" w:line="240" w:lineRule="auto"/>
        <w:jc w:val="both"/>
        <w:rPr>
          <w:rFonts w:eastAsia="Times New Roman" w:cs="Times New Roman"/>
          <w:sz w:val="20"/>
          <w:szCs w:val="20"/>
        </w:rPr>
      </w:pPr>
      <w:r>
        <w:rPr>
          <w:rFonts w:cs="Times New Roman"/>
          <w:sz w:val="20"/>
          <w:szCs w:val="20"/>
          <w:lang w:val="hr"/>
        </w:rPr>
        <w:t>Dobro očuvano prirodno okruženje, uključujući prekogranični rezervat biosfere (</w:t>
      </w:r>
      <w:proofErr w:type="spellStart"/>
      <w:r>
        <w:rPr>
          <w:rFonts w:cs="Times New Roman"/>
          <w:sz w:val="20"/>
          <w:szCs w:val="20"/>
          <w:lang w:val="hr"/>
        </w:rPr>
        <w:t>PRB</w:t>
      </w:r>
      <w:proofErr w:type="spellEnd"/>
      <w:r>
        <w:rPr>
          <w:rFonts w:cs="Times New Roman"/>
          <w:sz w:val="20"/>
          <w:szCs w:val="20"/>
          <w:lang w:val="hr"/>
        </w:rPr>
        <w:t xml:space="preserve">), i bogata kultura čine dobar temelj za razvoj održivog turizma, čime se ostvaruje gospodarski razvoj i promicanje socijalne uključenosti. </w:t>
      </w:r>
    </w:p>
    <w:p w14:paraId="4BB4D03F" w14:textId="77777777" w:rsidR="00CB4EBF" w:rsidRDefault="00CB4EBF" w:rsidP="00CB4EBF">
      <w:pPr>
        <w:spacing w:after="0" w:line="240" w:lineRule="auto"/>
        <w:jc w:val="both"/>
        <w:rPr>
          <w:rFonts w:eastAsia="Times New Roman" w:cs="Times New Roman"/>
          <w:sz w:val="20"/>
          <w:szCs w:val="20"/>
        </w:rPr>
      </w:pPr>
    </w:p>
    <w:p w14:paraId="72A5E211" w14:textId="77777777" w:rsidR="00CB4EBF" w:rsidRDefault="00CB4EBF" w:rsidP="00CB4EBF">
      <w:pPr>
        <w:spacing w:after="0" w:line="240" w:lineRule="auto"/>
        <w:jc w:val="both"/>
        <w:rPr>
          <w:rFonts w:eastAsia="Times New Roman" w:cs="Times New Roman"/>
          <w:noProof/>
          <w:color w:val="000000"/>
          <w:sz w:val="20"/>
          <w:szCs w:val="20"/>
        </w:rPr>
      </w:pPr>
      <w:r>
        <w:rPr>
          <w:rFonts w:eastAsia="Times New Roman" w:cs="Times New Roman"/>
          <w:sz w:val="20"/>
          <w:szCs w:val="20"/>
          <w:lang w:val="hr"/>
        </w:rPr>
        <w:t>Zbog pandemije bolesti COVID-19 veći je naglasak na manje poznatim područjima, izbjegavanju „prekomjernog turizma”, iskustvu u blizini prirode. Turističku i sportsku infrastrukturu i usluge treba razvijati u skladu s načelom „značajno ne štetiti”, potrebno je promicati mogućnosti zelene mobilnosti, poboljšati fizičku povezanost turističkih atrakcija čime se pridonosi društvenoj uključenosti i jačanju lokalnog gospodarstva.</w:t>
      </w:r>
    </w:p>
    <w:p w14:paraId="60DE9691" w14:textId="77777777" w:rsidR="00CB4EBF" w:rsidRDefault="00CB4EBF" w:rsidP="00CB4EBF">
      <w:pPr>
        <w:spacing w:after="0" w:line="240" w:lineRule="auto"/>
        <w:jc w:val="both"/>
        <w:rPr>
          <w:rFonts w:eastAsia="Times New Roman" w:cs="Times New Roman"/>
          <w:noProof/>
          <w:color w:val="000000"/>
          <w:sz w:val="20"/>
          <w:szCs w:val="20"/>
        </w:rPr>
      </w:pPr>
    </w:p>
    <w:p w14:paraId="56432432" w14:textId="77777777" w:rsidR="00CB4EBF" w:rsidRDefault="00CB4EBF" w:rsidP="00CB4EBF">
      <w:pPr>
        <w:spacing w:after="0" w:line="240" w:lineRule="auto"/>
        <w:jc w:val="both"/>
        <w:rPr>
          <w:rFonts w:eastAsia="Times New Roman" w:cs="Times New Roman"/>
          <w:noProof/>
          <w:color w:val="000000"/>
          <w:sz w:val="20"/>
          <w:szCs w:val="20"/>
        </w:rPr>
      </w:pPr>
      <w:r>
        <w:rPr>
          <w:rFonts w:eastAsia="Times New Roman" w:cs="Times New Roman"/>
          <w:sz w:val="20"/>
          <w:szCs w:val="20"/>
          <w:lang w:val="hr"/>
        </w:rPr>
        <w:t>Potporu će dobiti projekti za kulturu i održivi turizam sa sljedećim intervencijskim područjima, među ostalim:</w:t>
      </w:r>
    </w:p>
    <w:p w14:paraId="68D0851A" w14:textId="77777777" w:rsidR="00CB4EBF" w:rsidRPr="00B723CC" w:rsidRDefault="00CB4EBF" w:rsidP="00CB4EBF">
      <w:pPr>
        <w:pStyle w:val="ListParagraph"/>
        <w:widowControl w:val="0"/>
        <w:numPr>
          <w:ilvl w:val="0"/>
          <w:numId w:val="16"/>
        </w:numPr>
        <w:spacing w:after="0" w:line="240" w:lineRule="auto"/>
        <w:jc w:val="both"/>
        <w:rPr>
          <w:rFonts w:eastAsia="Times New Roman" w:cs="Times New Roman"/>
          <w:sz w:val="20"/>
          <w:szCs w:val="20"/>
        </w:rPr>
      </w:pPr>
      <w:r>
        <w:rPr>
          <w:rFonts w:eastAsia="Times New Roman" w:cs="Times New Roman"/>
          <w:sz w:val="20"/>
          <w:szCs w:val="20"/>
          <w:lang w:val="hr"/>
        </w:rPr>
        <w:t>Razvoj održivih turističkih atrakcija s jasnom turističkom relevantnošću koje povećavaju vidljivost izvan pograničnog područja (prednost treba dati razvoju zajedničke mreže atrakcija s nacionalnom ili međunarodnom važnosti koje privlače posjetitelje izvan programskog područja);</w:t>
      </w:r>
    </w:p>
    <w:p w14:paraId="228F28B7" w14:textId="77777777" w:rsidR="00CB4EBF" w:rsidRPr="00B723CC" w:rsidRDefault="00CB4EBF" w:rsidP="00CB4EBF">
      <w:pPr>
        <w:pStyle w:val="ListParagraph"/>
        <w:widowControl w:val="0"/>
        <w:numPr>
          <w:ilvl w:val="0"/>
          <w:numId w:val="16"/>
        </w:numPr>
        <w:spacing w:after="0" w:line="240" w:lineRule="auto"/>
        <w:jc w:val="both"/>
        <w:rPr>
          <w:rFonts w:eastAsia="Times New Roman" w:cs="Times New Roman"/>
          <w:sz w:val="20"/>
          <w:szCs w:val="20"/>
        </w:rPr>
      </w:pPr>
      <w:r>
        <w:rPr>
          <w:rFonts w:eastAsia="Times New Roman" w:cs="Times New Roman"/>
          <w:sz w:val="20"/>
          <w:szCs w:val="20"/>
          <w:lang w:val="hr"/>
        </w:rPr>
        <w:t xml:space="preserve">Kvalitetan razvoj pružanja usluga u turističkom sektoru što za posljedicu ima povećanje broja posjetitelja; </w:t>
      </w:r>
    </w:p>
    <w:p w14:paraId="6919A807" w14:textId="77777777" w:rsidR="00CB4EBF" w:rsidRPr="00B723CC" w:rsidRDefault="00CB4EBF" w:rsidP="00CB4EBF">
      <w:pPr>
        <w:pStyle w:val="ListParagraph"/>
        <w:widowControl w:val="0"/>
        <w:numPr>
          <w:ilvl w:val="0"/>
          <w:numId w:val="16"/>
        </w:numPr>
        <w:spacing w:after="0" w:line="240" w:lineRule="auto"/>
        <w:jc w:val="both"/>
        <w:rPr>
          <w:rFonts w:eastAsia="Times New Roman" w:cs="Times New Roman"/>
          <w:sz w:val="20"/>
          <w:szCs w:val="20"/>
        </w:rPr>
      </w:pPr>
      <w:r>
        <w:rPr>
          <w:rFonts w:eastAsia="Times New Roman" w:cs="Times New Roman"/>
          <w:sz w:val="20"/>
          <w:szCs w:val="20"/>
          <w:lang w:val="hr"/>
        </w:rPr>
        <w:t>Poboljšanje i promicanje zelenih turističkih usluga mobilnosti;</w:t>
      </w:r>
    </w:p>
    <w:p w14:paraId="1850138D" w14:textId="77777777" w:rsidR="00CB4EBF" w:rsidRPr="00B723CC" w:rsidRDefault="00CB4EBF" w:rsidP="00CB4EBF">
      <w:pPr>
        <w:pStyle w:val="ListParagraph"/>
        <w:numPr>
          <w:ilvl w:val="0"/>
          <w:numId w:val="16"/>
        </w:numPr>
        <w:spacing w:after="0" w:line="240" w:lineRule="auto"/>
        <w:jc w:val="both"/>
        <w:rPr>
          <w:rFonts w:eastAsia="Times New Roman" w:cs="Times New Roman"/>
          <w:noProof/>
          <w:color w:val="000000"/>
          <w:sz w:val="20"/>
          <w:szCs w:val="20"/>
        </w:rPr>
      </w:pPr>
      <w:r>
        <w:rPr>
          <w:rFonts w:eastAsia="Times New Roman" w:cs="Times New Roman"/>
          <w:sz w:val="20"/>
          <w:szCs w:val="20"/>
          <w:lang w:val="hr"/>
        </w:rPr>
        <w:t>Uspostavljanje regionalnih i zajedničkih usluga upravljanja turističkim destinacijama i promicanje izvan pograničnog područja.</w:t>
      </w:r>
    </w:p>
    <w:p w14:paraId="530AB720" w14:textId="77777777" w:rsidR="00CB4EBF" w:rsidRDefault="00CB4EBF" w:rsidP="00CB4EBF">
      <w:pPr>
        <w:spacing w:after="0" w:line="240" w:lineRule="auto"/>
        <w:jc w:val="both"/>
        <w:rPr>
          <w:rFonts w:eastAsia="Times New Roman" w:cs="Times New Roman"/>
          <w:noProof/>
          <w:color w:val="000000"/>
          <w:sz w:val="20"/>
          <w:szCs w:val="20"/>
        </w:rPr>
      </w:pPr>
    </w:p>
    <w:p w14:paraId="5D203B96" w14:textId="77777777" w:rsidR="00CB4EBF" w:rsidRDefault="00CB4EBF" w:rsidP="00CB4EBF">
      <w:pPr>
        <w:spacing w:after="0" w:line="240" w:lineRule="auto"/>
        <w:jc w:val="both"/>
        <w:rPr>
          <w:rFonts w:eastAsia="Times New Roman" w:cs="Times New Roman"/>
          <w:sz w:val="20"/>
          <w:szCs w:val="20"/>
        </w:rPr>
      </w:pPr>
      <w:r>
        <w:rPr>
          <w:rFonts w:eastAsia="Times New Roman" w:cs="Times New Roman"/>
          <w:sz w:val="20"/>
          <w:szCs w:val="20"/>
          <w:lang w:val="hr"/>
        </w:rPr>
        <w:t xml:space="preserve">Prioritetni oblici turizma jesu: ekoturizam, kulturni turizam, vinski i gastronomski turizam, </w:t>
      </w:r>
      <w:proofErr w:type="spellStart"/>
      <w:r>
        <w:rPr>
          <w:rFonts w:eastAsia="Times New Roman" w:cs="Times New Roman"/>
          <w:sz w:val="20"/>
          <w:szCs w:val="20"/>
          <w:lang w:val="hr"/>
        </w:rPr>
        <w:t>cikloturizam</w:t>
      </w:r>
      <w:proofErr w:type="spellEnd"/>
      <w:r>
        <w:rPr>
          <w:rFonts w:eastAsia="Times New Roman" w:cs="Times New Roman"/>
          <w:sz w:val="20"/>
          <w:szCs w:val="20"/>
          <w:lang w:val="hr"/>
        </w:rPr>
        <w:t>, sportski, zdravstveni, vodeni turizam, kao i različiti inovativni oblici turizma.</w:t>
      </w:r>
    </w:p>
    <w:p w14:paraId="389AD816" w14:textId="77777777" w:rsidR="00CB4EBF" w:rsidRDefault="00CB4EBF" w:rsidP="00CB4EBF">
      <w:pPr>
        <w:spacing w:after="0" w:line="240" w:lineRule="auto"/>
        <w:jc w:val="both"/>
        <w:rPr>
          <w:rFonts w:eastAsia="Times New Roman" w:cs="Times New Roman"/>
          <w:sz w:val="20"/>
          <w:szCs w:val="20"/>
        </w:rPr>
      </w:pPr>
    </w:p>
    <w:p w14:paraId="2760A1BB" w14:textId="77777777" w:rsidR="00CB4EBF" w:rsidRDefault="00CB4EBF" w:rsidP="00CB4EBF">
      <w:pPr>
        <w:widowControl w:val="0"/>
        <w:spacing w:after="0" w:line="240" w:lineRule="auto"/>
        <w:jc w:val="both"/>
        <w:rPr>
          <w:rFonts w:cs="Times New Roman"/>
          <w:sz w:val="20"/>
          <w:szCs w:val="20"/>
        </w:rPr>
      </w:pPr>
      <w:r>
        <w:rPr>
          <w:rFonts w:cs="Times New Roman"/>
          <w:sz w:val="20"/>
          <w:szCs w:val="20"/>
          <w:lang w:val="hr"/>
        </w:rPr>
        <w:t>Radnje koje se trebaju podržati shemama potpore s otvorenim pozivom, među ostalim:</w:t>
      </w:r>
    </w:p>
    <w:p w14:paraId="41293F53" w14:textId="77777777" w:rsidR="00CB4EBF" w:rsidRDefault="00CB4EBF" w:rsidP="00CB4EBF">
      <w:pPr>
        <w:pStyle w:val="ListParagraph"/>
        <w:widowControl w:val="0"/>
        <w:numPr>
          <w:ilvl w:val="0"/>
          <w:numId w:val="17"/>
        </w:numPr>
        <w:spacing w:after="0" w:line="240" w:lineRule="auto"/>
        <w:jc w:val="both"/>
        <w:rPr>
          <w:rFonts w:eastAsia="Times New Roman" w:cs="Times New Roman"/>
          <w:sz w:val="20"/>
          <w:szCs w:val="20"/>
        </w:rPr>
      </w:pPr>
      <w:r>
        <w:rPr>
          <w:rFonts w:eastAsia="Times New Roman" w:cs="Times New Roman"/>
          <w:sz w:val="20"/>
          <w:szCs w:val="20"/>
          <w:lang w:val="hr"/>
        </w:rPr>
        <w:t>Razvoj infrastrukture postojećih i novih turističkih atrakcija;</w:t>
      </w:r>
    </w:p>
    <w:p w14:paraId="666F3C6D" w14:textId="77777777" w:rsidR="00CB4EBF" w:rsidRPr="00B723CC" w:rsidRDefault="00CB4EBF" w:rsidP="00CB4EBF">
      <w:pPr>
        <w:pStyle w:val="ListParagraph"/>
        <w:widowControl w:val="0"/>
        <w:numPr>
          <w:ilvl w:val="0"/>
          <w:numId w:val="17"/>
        </w:numPr>
        <w:spacing w:after="0" w:line="240" w:lineRule="auto"/>
        <w:jc w:val="both"/>
        <w:rPr>
          <w:rFonts w:eastAsia="Times New Roman" w:cs="Times New Roman"/>
          <w:sz w:val="20"/>
          <w:szCs w:val="20"/>
        </w:rPr>
      </w:pPr>
      <w:r>
        <w:rPr>
          <w:rFonts w:eastAsia="Times New Roman" w:cs="Times New Roman"/>
          <w:sz w:val="20"/>
          <w:szCs w:val="20"/>
          <w:lang w:val="hr"/>
        </w:rPr>
        <w:t>Ulaganje u prirodnu infrastrukturu i infrastrukturu za interpretaciju kulture malih razmjera;</w:t>
      </w:r>
    </w:p>
    <w:p w14:paraId="546E034E" w14:textId="77777777" w:rsidR="00CB4EBF" w:rsidRPr="00B723CC" w:rsidRDefault="00CB4EBF" w:rsidP="00CB4EBF">
      <w:pPr>
        <w:pStyle w:val="ListParagraph"/>
        <w:widowControl w:val="0"/>
        <w:numPr>
          <w:ilvl w:val="0"/>
          <w:numId w:val="17"/>
        </w:numPr>
        <w:spacing w:after="0" w:line="240" w:lineRule="auto"/>
        <w:jc w:val="both"/>
        <w:rPr>
          <w:rFonts w:eastAsia="Times New Roman" w:cs="Times New Roman"/>
          <w:sz w:val="20"/>
          <w:szCs w:val="20"/>
        </w:rPr>
      </w:pPr>
      <w:r>
        <w:rPr>
          <w:rFonts w:eastAsia="Times New Roman" w:cs="Times New Roman"/>
          <w:sz w:val="20"/>
          <w:szCs w:val="20"/>
          <w:lang w:val="hr"/>
        </w:rPr>
        <w:t>Razvoj kvalitete radi uvođenja novih ciljanih usluga u turizmu (npr. za bicikliste, razna zanimanja kao ciljne skupine, osobe s invaliditetom itd.) kod javnih i privatnih pružatelja turističkih usluga (uključujući mala i srednja poduzeća);</w:t>
      </w:r>
    </w:p>
    <w:p w14:paraId="1B819BC8" w14:textId="77777777" w:rsidR="00CB4EBF" w:rsidRPr="00B723CC" w:rsidRDefault="00CB4EBF" w:rsidP="00CB4EBF">
      <w:pPr>
        <w:pStyle w:val="ListParagraph"/>
        <w:widowControl w:val="0"/>
        <w:numPr>
          <w:ilvl w:val="0"/>
          <w:numId w:val="17"/>
        </w:numPr>
        <w:spacing w:after="0" w:line="240" w:lineRule="auto"/>
        <w:jc w:val="both"/>
        <w:rPr>
          <w:rFonts w:eastAsia="Times New Roman" w:cs="Times New Roman"/>
          <w:sz w:val="20"/>
          <w:szCs w:val="20"/>
        </w:rPr>
      </w:pPr>
      <w:r>
        <w:rPr>
          <w:rFonts w:eastAsia="Times New Roman" w:cs="Times New Roman"/>
          <w:sz w:val="20"/>
          <w:szCs w:val="20"/>
          <w:lang w:val="hr"/>
        </w:rPr>
        <w:t>Razvoj biciklističkih i pješačkih staza s turističkom signalizacijom. Poželjno usmjeriti razvoj biciklističkih staza na praznine u međunarodnim rutama ili njihova uska grla (</w:t>
      </w:r>
      <w:proofErr w:type="spellStart"/>
      <w:r>
        <w:rPr>
          <w:rFonts w:eastAsia="Times New Roman" w:cs="Times New Roman"/>
          <w:sz w:val="20"/>
          <w:szCs w:val="20"/>
          <w:lang w:val="hr"/>
        </w:rPr>
        <w:t>EuroVelo</w:t>
      </w:r>
      <w:proofErr w:type="spellEnd"/>
      <w:r>
        <w:rPr>
          <w:rFonts w:eastAsia="Times New Roman" w:cs="Times New Roman"/>
          <w:sz w:val="20"/>
          <w:szCs w:val="20"/>
          <w:lang w:val="hr"/>
        </w:rPr>
        <w:t xml:space="preserve"> 6 i 13) i njihove veze s popularnim turističkim odredištima i glavnim nacionalnim biciklističkim rutama;</w:t>
      </w:r>
    </w:p>
    <w:p w14:paraId="56421654" w14:textId="77777777" w:rsidR="00CB4EBF" w:rsidRPr="00B723CC" w:rsidRDefault="00CB4EBF" w:rsidP="00CB4EBF">
      <w:pPr>
        <w:pStyle w:val="ListParagraph"/>
        <w:widowControl w:val="0"/>
        <w:numPr>
          <w:ilvl w:val="0"/>
          <w:numId w:val="17"/>
        </w:numPr>
        <w:spacing w:after="0" w:line="240" w:lineRule="auto"/>
        <w:jc w:val="both"/>
        <w:rPr>
          <w:rFonts w:eastAsia="Times New Roman" w:cs="Times New Roman"/>
          <w:sz w:val="20"/>
          <w:szCs w:val="20"/>
        </w:rPr>
      </w:pPr>
      <w:r>
        <w:rPr>
          <w:rFonts w:eastAsia="Times New Roman" w:cs="Times New Roman"/>
          <w:sz w:val="20"/>
          <w:szCs w:val="20"/>
          <w:lang w:val="hr"/>
        </w:rPr>
        <w:t>Razvoj infrastrukture povezane s vodenim turizmom (vezovi, usluge na kopnu, signalizacija);</w:t>
      </w:r>
    </w:p>
    <w:p w14:paraId="405F8A14" w14:textId="77777777" w:rsidR="00CB4EBF" w:rsidRPr="00B723CC" w:rsidRDefault="00CB4EBF" w:rsidP="00CB4EBF">
      <w:pPr>
        <w:pStyle w:val="ListParagraph"/>
        <w:widowControl w:val="0"/>
        <w:numPr>
          <w:ilvl w:val="0"/>
          <w:numId w:val="17"/>
        </w:numPr>
        <w:spacing w:after="0" w:line="240" w:lineRule="auto"/>
        <w:jc w:val="both"/>
        <w:rPr>
          <w:rFonts w:eastAsia="Times New Roman" w:cs="Times New Roman"/>
          <w:sz w:val="20"/>
          <w:szCs w:val="20"/>
        </w:rPr>
      </w:pPr>
      <w:r>
        <w:rPr>
          <w:rFonts w:eastAsia="Times New Roman" w:cs="Times New Roman"/>
          <w:sz w:val="20"/>
          <w:szCs w:val="20"/>
          <w:lang w:val="hr"/>
        </w:rPr>
        <w:t>Zajedničko promicanje pograničnog područja na relevantnim ciljnim tržištima, organizacija promotivnih događanja, sudjelovanje na raznim događajima prekograničnog i šireg značaja;</w:t>
      </w:r>
    </w:p>
    <w:p w14:paraId="2C40FAE2" w14:textId="77777777" w:rsidR="00CB4EBF" w:rsidRPr="00B723CC" w:rsidRDefault="00CB4EBF" w:rsidP="00CB4EBF">
      <w:pPr>
        <w:pStyle w:val="ListParagraph"/>
        <w:widowControl w:val="0"/>
        <w:numPr>
          <w:ilvl w:val="0"/>
          <w:numId w:val="17"/>
        </w:numPr>
        <w:spacing w:after="0" w:line="240" w:lineRule="auto"/>
        <w:jc w:val="both"/>
        <w:rPr>
          <w:rFonts w:eastAsia="Times New Roman" w:cs="Times New Roman"/>
          <w:sz w:val="20"/>
          <w:szCs w:val="20"/>
        </w:rPr>
      </w:pPr>
      <w:r>
        <w:rPr>
          <w:rFonts w:eastAsia="Times New Roman" w:cs="Times New Roman"/>
          <w:sz w:val="20"/>
          <w:szCs w:val="20"/>
          <w:lang w:val="hr"/>
        </w:rPr>
        <w:t>Obrazovanje i podizanje svijesti među turističkim djelatnicima i ciljnim skupinama.</w:t>
      </w:r>
    </w:p>
    <w:p w14:paraId="53E56CDE" w14:textId="77777777" w:rsidR="00CB4EBF" w:rsidRPr="00B723CC" w:rsidRDefault="00CB4EBF" w:rsidP="00CB4EBF">
      <w:pPr>
        <w:pStyle w:val="ListParagraph"/>
        <w:widowControl w:val="0"/>
        <w:numPr>
          <w:ilvl w:val="0"/>
          <w:numId w:val="17"/>
        </w:numPr>
        <w:spacing w:after="0" w:line="240" w:lineRule="auto"/>
        <w:jc w:val="both"/>
        <w:rPr>
          <w:rFonts w:eastAsia="Times New Roman" w:cs="Times New Roman"/>
          <w:sz w:val="20"/>
          <w:szCs w:val="20"/>
        </w:rPr>
      </w:pPr>
      <w:r>
        <w:rPr>
          <w:rFonts w:eastAsia="Times New Roman" w:cs="Times New Roman"/>
          <w:sz w:val="20"/>
          <w:szCs w:val="20"/>
          <w:lang w:val="hr"/>
        </w:rPr>
        <w:t>Odabir projekata odvijat će se putem otvorenih javnih poziva. Prednost treba dati projektima sa sljedećim sadržajem:</w:t>
      </w:r>
    </w:p>
    <w:p w14:paraId="238E6667" w14:textId="77777777" w:rsidR="00CB4EBF" w:rsidRPr="00B723CC" w:rsidRDefault="00CB4EBF" w:rsidP="00CB4EBF">
      <w:pPr>
        <w:pStyle w:val="ListParagraph"/>
        <w:widowControl w:val="0"/>
        <w:numPr>
          <w:ilvl w:val="0"/>
          <w:numId w:val="17"/>
        </w:numPr>
        <w:spacing w:after="0" w:line="240" w:lineRule="auto"/>
        <w:jc w:val="both"/>
        <w:rPr>
          <w:rFonts w:eastAsia="Times New Roman" w:cs="Times New Roman"/>
          <w:sz w:val="20"/>
          <w:szCs w:val="20"/>
        </w:rPr>
      </w:pPr>
      <w:r>
        <w:rPr>
          <w:rFonts w:eastAsia="Times New Roman" w:cs="Times New Roman"/>
          <w:sz w:val="20"/>
          <w:szCs w:val="20"/>
          <w:lang w:val="hr"/>
        </w:rPr>
        <w:t>Podrška turističkim atrakcijama i odredištima s velikom teritorijalnom važnosti (treba izbjegavati atrakcije od lokalnog značaja) i koja pružaju dodanu vrijednost turističkoj ponudi na tom području;</w:t>
      </w:r>
    </w:p>
    <w:p w14:paraId="28FB4A85" w14:textId="77777777" w:rsidR="00CB4EBF" w:rsidRPr="00B723CC" w:rsidRDefault="00CB4EBF" w:rsidP="00CB4EBF">
      <w:pPr>
        <w:pStyle w:val="ListParagraph"/>
        <w:widowControl w:val="0"/>
        <w:numPr>
          <w:ilvl w:val="0"/>
          <w:numId w:val="17"/>
        </w:numPr>
        <w:spacing w:after="0" w:line="240" w:lineRule="auto"/>
        <w:jc w:val="both"/>
        <w:rPr>
          <w:rFonts w:eastAsia="Times New Roman" w:cs="Times New Roman"/>
          <w:sz w:val="20"/>
          <w:szCs w:val="20"/>
        </w:rPr>
      </w:pPr>
      <w:r>
        <w:rPr>
          <w:rFonts w:eastAsia="Times New Roman" w:cs="Times New Roman"/>
          <w:sz w:val="20"/>
          <w:szCs w:val="20"/>
          <w:lang w:val="hr"/>
        </w:rPr>
        <w:t>Zajednička narav projekata i međusobna povezanost aktivnosti koje provode projektni partneri (jasna tematska i/ili teritorijalna povezanost turističkog razvoja projektnih partnera);</w:t>
      </w:r>
    </w:p>
    <w:p w14:paraId="4B66A6A2" w14:textId="77777777" w:rsidR="00CB4EBF" w:rsidRPr="00B723CC" w:rsidRDefault="00CB4EBF" w:rsidP="00CB4EBF">
      <w:pPr>
        <w:pStyle w:val="ListParagraph"/>
        <w:widowControl w:val="0"/>
        <w:numPr>
          <w:ilvl w:val="0"/>
          <w:numId w:val="17"/>
        </w:numPr>
        <w:spacing w:after="0" w:line="240" w:lineRule="auto"/>
        <w:jc w:val="both"/>
        <w:rPr>
          <w:rFonts w:eastAsia="Times New Roman" w:cs="Times New Roman"/>
          <w:sz w:val="20"/>
          <w:szCs w:val="20"/>
        </w:rPr>
      </w:pPr>
      <w:r>
        <w:rPr>
          <w:rFonts w:eastAsia="Times New Roman" w:cs="Times New Roman"/>
          <w:sz w:val="20"/>
          <w:szCs w:val="20"/>
          <w:lang w:val="hr"/>
        </w:rPr>
        <w:t>Razvoj različitih međusobno povezanih turističkih proizvoda u svrhu ostvarivanja složenog paketa prekogranične turističke ponude;</w:t>
      </w:r>
    </w:p>
    <w:p w14:paraId="3C137848" w14:textId="77777777" w:rsidR="00CB4EBF" w:rsidRPr="00B723CC" w:rsidRDefault="00CB4EBF" w:rsidP="00CB4EBF">
      <w:pPr>
        <w:pStyle w:val="ListParagraph"/>
        <w:widowControl w:val="0"/>
        <w:numPr>
          <w:ilvl w:val="0"/>
          <w:numId w:val="17"/>
        </w:numPr>
        <w:spacing w:after="0" w:line="240" w:lineRule="auto"/>
        <w:jc w:val="both"/>
        <w:rPr>
          <w:rFonts w:eastAsia="Times New Roman" w:cs="Times New Roman"/>
          <w:sz w:val="20"/>
          <w:szCs w:val="20"/>
        </w:rPr>
      </w:pPr>
      <w:r>
        <w:rPr>
          <w:rFonts w:eastAsia="Times New Roman" w:cs="Times New Roman"/>
          <w:sz w:val="20"/>
          <w:szCs w:val="20"/>
          <w:lang w:val="hr"/>
        </w:rPr>
        <w:t>Primjena inovativnih i kreativnih turističkih tehnologija i metoda, uključujući turističke modele utemeljene na pojedincu;</w:t>
      </w:r>
    </w:p>
    <w:p w14:paraId="51FA3D6B" w14:textId="77777777" w:rsidR="00CB4EBF" w:rsidRDefault="00CB4EBF" w:rsidP="00CB4EBF">
      <w:pPr>
        <w:pStyle w:val="ListParagraph"/>
        <w:widowControl w:val="0"/>
        <w:numPr>
          <w:ilvl w:val="0"/>
          <w:numId w:val="17"/>
        </w:numPr>
        <w:spacing w:after="0" w:line="240" w:lineRule="auto"/>
        <w:jc w:val="both"/>
        <w:rPr>
          <w:rFonts w:eastAsia="Times New Roman" w:cs="Times New Roman"/>
          <w:sz w:val="20"/>
          <w:szCs w:val="20"/>
        </w:rPr>
      </w:pPr>
      <w:r>
        <w:rPr>
          <w:rFonts w:eastAsia="Times New Roman" w:cs="Times New Roman"/>
          <w:sz w:val="20"/>
          <w:szCs w:val="20"/>
          <w:lang w:val="hr"/>
        </w:rPr>
        <w:lastRenderedPageBreak/>
        <w:t>Podrška digitalizaciji turističke ponude;</w:t>
      </w:r>
    </w:p>
    <w:p w14:paraId="081314DB" w14:textId="77777777" w:rsidR="00CB4EBF" w:rsidRPr="00B723CC" w:rsidRDefault="00CB4EBF" w:rsidP="00CB4EBF">
      <w:pPr>
        <w:pStyle w:val="ListParagraph"/>
        <w:widowControl w:val="0"/>
        <w:numPr>
          <w:ilvl w:val="0"/>
          <w:numId w:val="17"/>
        </w:numPr>
        <w:spacing w:after="0" w:line="240" w:lineRule="auto"/>
        <w:jc w:val="both"/>
        <w:rPr>
          <w:rFonts w:eastAsia="Times New Roman" w:cs="Times New Roman"/>
          <w:sz w:val="20"/>
          <w:szCs w:val="20"/>
        </w:rPr>
      </w:pPr>
      <w:r>
        <w:rPr>
          <w:rFonts w:eastAsia="Times New Roman" w:cs="Times New Roman"/>
          <w:sz w:val="20"/>
          <w:szCs w:val="20"/>
          <w:lang w:val="hr"/>
        </w:rPr>
        <w:t>Osigurana operativna i ekonomska održivost te jasan model upravljanja odredištem (prednost treba dati projektima u koje su uključene organizacije za upravljanje turizmom koje će biti djelomično ili isključivo odgovorne za buduće održavanje i rad ostvarenog turističkog razvoja).</w:t>
      </w:r>
    </w:p>
    <w:p w14:paraId="5F13C702" w14:textId="77777777" w:rsidR="00CB4EBF" w:rsidRDefault="00CB4EBF" w:rsidP="00CB4EBF">
      <w:pPr>
        <w:spacing w:after="0" w:line="240" w:lineRule="auto"/>
        <w:jc w:val="both"/>
        <w:rPr>
          <w:rFonts w:eastAsia="Times New Roman" w:cs="Times New Roman"/>
          <w:noProof/>
          <w:color w:val="000000"/>
          <w:sz w:val="20"/>
          <w:szCs w:val="20"/>
        </w:rPr>
      </w:pPr>
    </w:p>
    <w:p w14:paraId="14C69370" w14:textId="77777777" w:rsidR="00CB4EBF" w:rsidRDefault="00CB4EBF" w:rsidP="00CB4EBF">
      <w:pPr>
        <w:spacing w:after="0"/>
        <w:jc w:val="both"/>
        <w:rPr>
          <w:rFonts w:cs="Times New Roman"/>
          <w:sz w:val="20"/>
          <w:szCs w:val="20"/>
        </w:rPr>
      </w:pPr>
      <w:r>
        <w:rPr>
          <w:rFonts w:cs="Times New Roman"/>
          <w:sz w:val="20"/>
          <w:szCs w:val="20"/>
          <w:lang w:val="hr"/>
        </w:rPr>
        <w:t>Najvažnija načela za kriterije odabira, među ostalim, jesu:</w:t>
      </w:r>
    </w:p>
    <w:p w14:paraId="2112DEE5" w14:textId="77777777" w:rsidR="00CB4EBF" w:rsidRPr="00B723CC" w:rsidRDefault="00CB4EBF" w:rsidP="00CB4EBF">
      <w:pPr>
        <w:pStyle w:val="ListParagraph"/>
        <w:widowControl w:val="0"/>
        <w:numPr>
          <w:ilvl w:val="0"/>
          <w:numId w:val="17"/>
        </w:numPr>
        <w:spacing w:after="0" w:line="240" w:lineRule="auto"/>
        <w:jc w:val="both"/>
        <w:rPr>
          <w:rFonts w:eastAsia="Times New Roman" w:cs="Times New Roman"/>
          <w:sz w:val="20"/>
          <w:szCs w:val="20"/>
        </w:rPr>
      </w:pPr>
      <w:r>
        <w:rPr>
          <w:rFonts w:eastAsia="Times New Roman" w:cs="Times New Roman"/>
          <w:sz w:val="20"/>
          <w:szCs w:val="20"/>
          <w:lang w:val="hr"/>
        </w:rPr>
        <w:t>složenost projekata, međusobna povezanost aktivnosti koje provode korisnici;</w:t>
      </w:r>
    </w:p>
    <w:p w14:paraId="6BFDBB4D" w14:textId="77777777" w:rsidR="00CB4EBF" w:rsidRPr="00B723CC" w:rsidRDefault="00CB4EBF" w:rsidP="00CB4EBF">
      <w:pPr>
        <w:pStyle w:val="ListParagraph"/>
        <w:widowControl w:val="0"/>
        <w:numPr>
          <w:ilvl w:val="0"/>
          <w:numId w:val="17"/>
        </w:numPr>
        <w:spacing w:after="0" w:line="240" w:lineRule="auto"/>
        <w:jc w:val="both"/>
        <w:rPr>
          <w:rFonts w:eastAsia="Times New Roman" w:cs="Times New Roman"/>
          <w:sz w:val="20"/>
          <w:szCs w:val="20"/>
        </w:rPr>
      </w:pPr>
      <w:r>
        <w:rPr>
          <w:rFonts w:eastAsia="Times New Roman" w:cs="Times New Roman"/>
          <w:sz w:val="20"/>
          <w:szCs w:val="20"/>
          <w:lang w:val="hr"/>
        </w:rPr>
        <w:t>usklađenost s prirodnim obilježjima pograničnog područja;</w:t>
      </w:r>
    </w:p>
    <w:p w14:paraId="00075716" w14:textId="77777777" w:rsidR="00CB4EBF" w:rsidRPr="00B723CC" w:rsidRDefault="00CB4EBF" w:rsidP="00CB4EBF">
      <w:pPr>
        <w:pStyle w:val="ListParagraph"/>
        <w:widowControl w:val="0"/>
        <w:numPr>
          <w:ilvl w:val="0"/>
          <w:numId w:val="17"/>
        </w:numPr>
        <w:spacing w:after="0" w:line="240" w:lineRule="auto"/>
        <w:jc w:val="both"/>
        <w:rPr>
          <w:rFonts w:eastAsia="Times New Roman" w:cs="Times New Roman"/>
          <w:sz w:val="20"/>
          <w:szCs w:val="20"/>
        </w:rPr>
      </w:pPr>
      <w:r>
        <w:rPr>
          <w:rFonts w:eastAsia="Times New Roman" w:cs="Times New Roman"/>
          <w:sz w:val="20"/>
          <w:szCs w:val="20"/>
          <w:lang w:val="hr"/>
        </w:rPr>
        <w:t>održivost ishoda i rezultata projekta;</w:t>
      </w:r>
    </w:p>
    <w:p w14:paraId="34A49FDD" w14:textId="77777777" w:rsidR="00CB4EBF" w:rsidRPr="00B723CC" w:rsidRDefault="00CB4EBF" w:rsidP="00CB4EBF">
      <w:pPr>
        <w:pStyle w:val="ListParagraph"/>
        <w:widowControl w:val="0"/>
        <w:numPr>
          <w:ilvl w:val="0"/>
          <w:numId w:val="17"/>
        </w:numPr>
        <w:spacing w:after="0" w:line="240" w:lineRule="auto"/>
        <w:jc w:val="both"/>
        <w:rPr>
          <w:rFonts w:eastAsia="Times New Roman" w:cs="Times New Roman"/>
          <w:sz w:val="20"/>
          <w:szCs w:val="20"/>
        </w:rPr>
      </w:pPr>
      <w:r>
        <w:rPr>
          <w:rFonts w:eastAsia="Times New Roman" w:cs="Times New Roman"/>
          <w:sz w:val="20"/>
          <w:szCs w:val="20"/>
          <w:lang w:val="hr"/>
        </w:rPr>
        <w:t>naglasak na manje poznata i zaostala područja duž granice, čime se postiže gospodarski razvoj i socijalna uključenost;</w:t>
      </w:r>
    </w:p>
    <w:p w14:paraId="2A95B5F5" w14:textId="77777777" w:rsidR="00CB4EBF" w:rsidRPr="00B723CC" w:rsidRDefault="00CB4EBF" w:rsidP="00CB4EBF">
      <w:pPr>
        <w:pStyle w:val="ListParagraph"/>
        <w:widowControl w:val="0"/>
        <w:numPr>
          <w:ilvl w:val="0"/>
          <w:numId w:val="17"/>
        </w:numPr>
        <w:spacing w:after="0" w:line="240" w:lineRule="auto"/>
        <w:jc w:val="both"/>
        <w:rPr>
          <w:rFonts w:eastAsia="Times New Roman" w:cs="Times New Roman"/>
          <w:sz w:val="20"/>
          <w:szCs w:val="20"/>
        </w:rPr>
      </w:pPr>
      <w:r>
        <w:rPr>
          <w:rFonts w:eastAsia="Times New Roman" w:cs="Times New Roman"/>
          <w:sz w:val="20"/>
          <w:szCs w:val="20"/>
          <w:lang w:val="hr"/>
        </w:rPr>
        <w:t>isplativost intervencija;</w:t>
      </w:r>
    </w:p>
    <w:p w14:paraId="4C7242DB" w14:textId="77777777" w:rsidR="00CB4EBF" w:rsidRPr="001D3CB3" w:rsidRDefault="00CB4EBF" w:rsidP="00CB4EBF">
      <w:pPr>
        <w:pStyle w:val="ListParagraph"/>
        <w:widowControl w:val="0"/>
        <w:numPr>
          <w:ilvl w:val="0"/>
          <w:numId w:val="17"/>
        </w:numPr>
        <w:spacing w:after="0" w:line="240" w:lineRule="auto"/>
        <w:jc w:val="both"/>
        <w:rPr>
          <w:rFonts w:cs="Times New Roman"/>
          <w:sz w:val="20"/>
          <w:szCs w:val="20"/>
        </w:rPr>
      </w:pPr>
      <w:r>
        <w:rPr>
          <w:rFonts w:cs="Times New Roman"/>
          <w:sz w:val="20"/>
          <w:szCs w:val="20"/>
          <w:lang w:val="hr"/>
        </w:rPr>
        <w:t>djelotvornost i pokriće predviđenih aktivnosti promocije turizma.</w:t>
      </w:r>
    </w:p>
    <w:p w14:paraId="567BB701" w14:textId="77777777" w:rsidR="00CB4EBF" w:rsidRDefault="00CB4EBF" w:rsidP="00CB4EBF">
      <w:pPr>
        <w:spacing w:after="0" w:line="240" w:lineRule="auto"/>
        <w:jc w:val="both"/>
        <w:rPr>
          <w:rFonts w:cs="Times New Roman"/>
          <w:sz w:val="20"/>
          <w:szCs w:val="20"/>
        </w:rPr>
      </w:pPr>
    </w:p>
    <w:p w14:paraId="63288D55"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r>
        <w:rPr>
          <w:rFonts w:eastAsia="Times New Roman" w:cs="Times New Roman"/>
          <w:b/>
          <w:bCs/>
          <w:noProof/>
          <w:sz w:val="20"/>
          <w:szCs w:val="20"/>
          <w:lang w:val="hr"/>
        </w:rPr>
        <w:t>Pokazatelji</w:t>
      </w:r>
    </w:p>
    <w:p w14:paraId="25C2EC44"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i/>
          <w:iCs/>
          <w:noProof/>
          <w:color w:val="000000"/>
          <w:sz w:val="20"/>
          <w:szCs w:val="20"/>
          <w:lang w:val="hr"/>
        </w:rPr>
        <w:t>Upućivanje: članak 17. stavak 3. točka (e) podtočka ii., članak 17. stavak 9. točka (c) podtočka iii.</w:t>
      </w:r>
    </w:p>
    <w:p w14:paraId="41EEC63E" w14:textId="77777777" w:rsidR="00CB4EBF" w:rsidRPr="001C431F" w:rsidRDefault="00CB4EBF" w:rsidP="00CB4EBF">
      <w:pPr>
        <w:spacing w:after="0" w:line="240" w:lineRule="auto"/>
        <w:rPr>
          <w:rFonts w:eastAsia="Times New Roman" w:cs="Times New Roman"/>
          <w:iCs/>
          <w:sz w:val="20"/>
          <w:szCs w:val="20"/>
        </w:rPr>
      </w:pPr>
      <w:r>
        <w:rPr>
          <w:rFonts w:eastAsia="Times New Roman" w:cs="Times New Roman"/>
          <w:sz w:val="20"/>
          <w:szCs w:val="20"/>
          <w:lang w:val="hr"/>
        </w:rPr>
        <w:t>Tablica 2.: Pokazatelji ostvarenja</w:t>
      </w:r>
    </w:p>
    <w:tbl>
      <w:tblPr>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1050"/>
        <w:gridCol w:w="883"/>
        <w:gridCol w:w="2449"/>
        <w:gridCol w:w="1248"/>
        <w:gridCol w:w="1254"/>
        <w:gridCol w:w="1495"/>
      </w:tblGrid>
      <w:tr w:rsidR="00CB4EBF" w:rsidRPr="00A23750" w14:paraId="73F9A6D8" w14:textId="77777777" w:rsidTr="0054762C">
        <w:trPr>
          <w:trHeight w:val="836"/>
        </w:trPr>
        <w:tc>
          <w:tcPr>
            <w:tcW w:w="453" w:type="pct"/>
          </w:tcPr>
          <w:p w14:paraId="003814B1" w14:textId="77777777" w:rsidR="00CB4EBF" w:rsidRPr="001C431F" w:rsidRDefault="00CB4EBF" w:rsidP="0054762C">
            <w:pPr>
              <w:spacing w:after="0" w:line="240" w:lineRule="auto"/>
              <w:jc w:val="both"/>
              <w:rPr>
                <w:rFonts w:cs="Times New Roman"/>
                <w:b/>
                <w:sz w:val="20"/>
                <w:szCs w:val="20"/>
              </w:rPr>
            </w:pPr>
            <w:r>
              <w:rPr>
                <w:rFonts w:cs="Times New Roman"/>
                <w:b/>
                <w:bCs/>
                <w:sz w:val="20"/>
                <w:szCs w:val="20"/>
                <w:lang w:val="hr"/>
              </w:rPr>
              <w:t xml:space="preserve">Prioritet </w:t>
            </w:r>
          </w:p>
        </w:tc>
        <w:tc>
          <w:tcPr>
            <w:tcW w:w="475" w:type="pct"/>
          </w:tcPr>
          <w:p w14:paraId="027E6774" w14:textId="77777777" w:rsidR="00CB4EBF" w:rsidRPr="001C431F" w:rsidRDefault="00CB4EBF" w:rsidP="0054762C">
            <w:pPr>
              <w:spacing w:after="0" w:line="240" w:lineRule="auto"/>
              <w:jc w:val="both"/>
              <w:rPr>
                <w:rFonts w:cs="Times New Roman"/>
                <w:b/>
                <w:sz w:val="20"/>
                <w:szCs w:val="20"/>
              </w:rPr>
            </w:pPr>
            <w:r>
              <w:rPr>
                <w:rFonts w:cs="Times New Roman"/>
                <w:b/>
                <w:bCs/>
                <w:sz w:val="20"/>
                <w:szCs w:val="20"/>
                <w:lang w:val="hr"/>
              </w:rPr>
              <w:t>Specifični cilj</w:t>
            </w:r>
          </w:p>
        </w:tc>
        <w:tc>
          <w:tcPr>
            <w:tcW w:w="437" w:type="pct"/>
          </w:tcPr>
          <w:p w14:paraId="46537381" w14:textId="77777777" w:rsidR="00CB4EBF" w:rsidRPr="001C431F" w:rsidRDefault="00CB4EBF" w:rsidP="0054762C">
            <w:pPr>
              <w:spacing w:after="0" w:line="240" w:lineRule="auto"/>
              <w:jc w:val="both"/>
              <w:rPr>
                <w:rFonts w:cs="Times New Roman"/>
                <w:b/>
                <w:sz w:val="20"/>
                <w:szCs w:val="20"/>
              </w:rPr>
            </w:pPr>
            <w:r>
              <w:rPr>
                <w:rFonts w:cs="Times New Roman"/>
                <w:b/>
                <w:bCs/>
                <w:sz w:val="20"/>
                <w:szCs w:val="20"/>
                <w:lang w:val="hr"/>
              </w:rPr>
              <w:t>Oznaka</w:t>
            </w:r>
          </w:p>
          <w:p w14:paraId="0A830415" w14:textId="77777777" w:rsidR="00CB4EBF" w:rsidRPr="001C431F" w:rsidRDefault="00CB4EBF" w:rsidP="0054762C">
            <w:pPr>
              <w:spacing w:after="0" w:line="240" w:lineRule="auto"/>
              <w:jc w:val="both"/>
              <w:rPr>
                <w:rFonts w:cs="Times New Roman"/>
                <w:b/>
                <w:sz w:val="20"/>
                <w:szCs w:val="20"/>
              </w:rPr>
            </w:pPr>
            <w:r>
              <w:rPr>
                <w:rFonts w:cs="Times New Roman"/>
                <w:b/>
                <w:bCs/>
                <w:sz w:val="20"/>
                <w:szCs w:val="20"/>
                <w:lang w:val="hr"/>
              </w:rPr>
              <w:t>[5]</w:t>
            </w:r>
          </w:p>
        </w:tc>
        <w:tc>
          <w:tcPr>
            <w:tcW w:w="1358" w:type="pct"/>
            <w:shd w:val="clear" w:color="auto" w:fill="auto"/>
          </w:tcPr>
          <w:p w14:paraId="5F404037" w14:textId="77777777" w:rsidR="00CB4EBF" w:rsidRPr="001C431F" w:rsidRDefault="00CB4EBF" w:rsidP="0054762C">
            <w:pPr>
              <w:spacing w:after="0" w:line="240" w:lineRule="auto"/>
              <w:jc w:val="both"/>
              <w:rPr>
                <w:rFonts w:cs="Times New Roman"/>
                <w:b/>
                <w:sz w:val="20"/>
                <w:szCs w:val="20"/>
              </w:rPr>
            </w:pPr>
            <w:r>
              <w:rPr>
                <w:rFonts w:cs="Times New Roman"/>
                <w:b/>
                <w:bCs/>
                <w:sz w:val="20"/>
                <w:szCs w:val="20"/>
                <w:lang w:val="hr"/>
              </w:rPr>
              <w:t xml:space="preserve">Pokazatelj </w:t>
            </w:r>
          </w:p>
        </w:tc>
        <w:tc>
          <w:tcPr>
            <w:tcW w:w="714" w:type="pct"/>
          </w:tcPr>
          <w:p w14:paraId="3EEC6CBA" w14:textId="77777777" w:rsidR="00CB4EBF" w:rsidRPr="001C431F" w:rsidRDefault="00CB4EBF" w:rsidP="0054762C">
            <w:pPr>
              <w:spacing w:after="0" w:line="240" w:lineRule="auto"/>
              <w:jc w:val="both"/>
              <w:rPr>
                <w:rFonts w:cs="Times New Roman"/>
                <w:b/>
                <w:sz w:val="20"/>
                <w:szCs w:val="20"/>
              </w:rPr>
            </w:pPr>
            <w:r>
              <w:rPr>
                <w:rFonts w:cs="Times New Roman"/>
                <w:b/>
                <w:bCs/>
                <w:sz w:val="20"/>
                <w:szCs w:val="20"/>
                <w:lang w:val="hr"/>
              </w:rPr>
              <w:t>Mjerna jedinica</w:t>
            </w:r>
          </w:p>
          <w:p w14:paraId="0F13E0E2" w14:textId="77777777" w:rsidR="00CB4EBF" w:rsidRPr="001C431F" w:rsidRDefault="00CB4EBF" w:rsidP="0054762C">
            <w:pPr>
              <w:spacing w:after="0" w:line="240" w:lineRule="auto"/>
              <w:jc w:val="both"/>
              <w:rPr>
                <w:rFonts w:cs="Times New Roman"/>
                <w:b/>
                <w:sz w:val="20"/>
                <w:szCs w:val="20"/>
              </w:rPr>
            </w:pPr>
            <w:r>
              <w:rPr>
                <w:rFonts w:cs="Times New Roman"/>
                <w:b/>
                <w:bCs/>
                <w:sz w:val="20"/>
                <w:szCs w:val="20"/>
                <w:lang w:val="hr"/>
              </w:rPr>
              <w:t>[255]</w:t>
            </w:r>
          </w:p>
        </w:tc>
        <w:tc>
          <w:tcPr>
            <w:tcW w:w="717" w:type="pct"/>
            <w:shd w:val="clear" w:color="auto" w:fill="auto"/>
          </w:tcPr>
          <w:p w14:paraId="08A6F241" w14:textId="77777777" w:rsidR="00CB4EBF" w:rsidRPr="001C431F" w:rsidRDefault="00CB4EBF" w:rsidP="0054762C">
            <w:pPr>
              <w:spacing w:after="0" w:line="240" w:lineRule="auto"/>
              <w:jc w:val="both"/>
              <w:rPr>
                <w:rFonts w:cs="Times New Roman"/>
                <w:b/>
                <w:sz w:val="20"/>
                <w:szCs w:val="20"/>
              </w:rPr>
            </w:pPr>
            <w:r>
              <w:rPr>
                <w:rFonts w:cs="Times New Roman"/>
                <w:b/>
                <w:bCs/>
                <w:sz w:val="20"/>
                <w:szCs w:val="20"/>
                <w:lang w:val="hr"/>
              </w:rPr>
              <w:t>Ključna etapa (2024.)</w:t>
            </w:r>
          </w:p>
          <w:p w14:paraId="07A86B47" w14:textId="77777777" w:rsidR="00CB4EBF" w:rsidRPr="001C431F" w:rsidRDefault="00CB4EBF" w:rsidP="0054762C">
            <w:pPr>
              <w:spacing w:after="0" w:line="240" w:lineRule="auto"/>
              <w:jc w:val="both"/>
              <w:rPr>
                <w:rFonts w:cs="Times New Roman"/>
                <w:b/>
                <w:sz w:val="20"/>
                <w:szCs w:val="20"/>
              </w:rPr>
            </w:pPr>
            <w:r>
              <w:rPr>
                <w:rFonts w:cs="Times New Roman"/>
                <w:b/>
                <w:bCs/>
                <w:sz w:val="20"/>
                <w:szCs w:val="20"/>
                <w:lang w:val="hr"/>
              </w:rPr>
              <w:t>[200]</w:t>
            </w:r>
          </w:p>
        </w:tc>
        <w:tc>
          <w:tcPr>
            <w:tcW w:w="847" w:type="pct"/>
            <w:shd w:val="clear" w:color="auto" w:fill="auto"/>
          </w:tcPr>
          <w:p w14:paraId="63283717" w14:textId="77777777" w:rsidR="00CB4EBF" w:rsidRPr="001C431F" w:rsidRDefault="00CB4EBF" w:rsidP="0054762C">
            <w:pPr>
              <w:spacing w:after="0" w:line="240" w:lineRule="auto"/>
              <w:jc w:val="both"/>
              <w:rPr>
                <w:rFonts w:cs="Times New Roman"/>
                <w:b/>
                <w:sz w:val="20"/>
                <w:szCs w:val="20"/>
              </w:rPr>
            </w:pPr>
            <w:r>
              <w:rPr>
                <w:rFonts w:cs="Times New Roman"/>
                <w:b/>
                <w:bCs/>
                <w:sz w:val="20"/>
                <w:szCs w:val="20"/>
                <w:lang w:val="hr"/>
              </w:rPr>
              <w:t>Konačna ciljna vrijednost (2029.)</w:t>
            </w:r>
          </w:p>
          <w:p w14:paraId="18D66552" w14:textId="77777777" w:rsidR="00CB4EBF" w:rsidRPr="001C431F" w:rsidRDefault="00CB4EBF" w:rsidP="0054762C">
            <w:pPr>
              <w:spacing w:after="0" w:line="240" w:lineRule="auto"/>
              <w:jc w:val="both"/>
              <w:rPr>
                <w:rFonts w:cs="Times New Roman"/>
                <w:b/>
                <w:sz w:val="20"/>
                <w:szCs w:val="20"/>
              </w:rPr>
            </w:pPr>
            <w:r>
              <w:rPr>
                <w:rFonts w:cs="Times New Roman"/>
                <w:b/>
                <w:bCs/>
                <w:sz w:val="20"/>
                <w:szCs w:val="20"/>
                <w:lang w:val="hr"/>
              </w:rPr>
              <w:t>[200]</w:t>
            </w:r>
          </w:p>
        </w:tc>
      </w:tr>
      <w:tr w:rsidR="00CB4EBF" w:rsidRPr="00A23750" w14:paraId="53B521E1" w14:textId="77777777" w:rsidTr="0054762C">
        <w:trPr>
          <w:trHeight w:val="579"/>
        </w:trPr>
        <w:tc>
          <w:tcPr>
            <w:tcW w:w="453" w:type="pct"/>
          </w:tcPr>
          <w:p w14:paraId="4B82A52E" w14:textId="77777777" w:rsidR="00CB4EBF" w:rsidRPr="001C431F" w:rsidRDefault="00CB4EBF" w:rsidP="0054762C">
            <w:pPr>
              <w:spacing w:after="0" w:line="240" w:lineRule="auto"/>
              <w:jc w:val="center"/>
              <w:rPr>
                <w:rFonts w:cs="Times New Roman"/>
                <w:bCs/>
                <w:iCs/>
                <w:sz w:val="20"/>
                <w:szCs w:val="20"/>
              </w:rPr>
            </w:pPr>
            <w:r>
              <w:rPr>
                <w:rFonts w:cs="Times New Roman"/>
                <w:sz w:val="20"/>
                <w:szCs w:val="20"/>
                <w:lang w:val="hr"/>
              </w:rPr>
              <w:t>3</w:t>
            </w:r>
          </w:p>
        </w:tc>
        <w:tc>
          <w:tcPr>
            <w:tcW w:w="475" w:type="pct"/>
          </w:tcPr>
          <w:p w14:paraId="6E07A129" w14:textId="77777777" w:rsidR="00CB4EBF" w:rsidRPr="001C431F" w:rsidRDefault="00CB4EBF" w:rsidP="0054762C">
            <w:pPr>
              <w:spacing w:after="0" w:line="240" w:lineRule="auto"/>
              <w:jc w:val="both"/>
              <w:rPr>
                <w:rFonts w:cs="Times New Roman"/>
                <w:bCs/>
                <w:iCs/>
                <w:sz w:val="20"/>
                <w:szCs w:val="20"/>
              </w:rPr>
            </w:pPr>
            <w:r>
              <w:rPr>
                <w:rFonts w:eastAsia="Times New Roman" w:cs="Times New Roman"/>
                <w:noProof/>
                <w:sz w:val="20"/>
                <w:szCs w:val="20"/>
                <w:lang w:val="hr"/>
              </w:rPr>
              <w:t>SO 4.6</w:t>
            </w:r>
          </w:p>
        </w:tc>
        <w:tc>
          <w:tcPr>
            <w:tcW w:w="437" w:type="pct"/>
          </w:tcPr>
          <w:p w14:paraId="35BE9EBA" w14:textId="77777777" w:rsidR="00CB4EBF" w:rsidRPr="001C431F" w:rsidRDefault="00CB4EBF" w:rsidP="0054762C">
            <w:pPr>
              <w:spacing w:after="0" w:line="240" w:lineRule="auto"/>
              <w:jc w:val="both"/>
              <w:rPr>
                <w:rFonts w:cs="Times New Roman"/>
                <w:bCs/>
                <w:iCs/>
                <w:sz w:val="20"/>
                <w:szCs w:val="20"/>
              </w:rPr>
            </w:pPr>
            <w:proofErr w:type="spellStart"/>
            <w:r>
              <w:rPr>
                <w:rFonts w:cs="Times New Roman"/>
                <w:sz w:val="20"/>
                <w:szCs w:val="20"/>
                <w:lang w:val="hr"/>
              </w:rPr>
              <w:t>RCO</w:t>
            </w:r>
            <w:proofErr w:type="spellEnd"/>
            <w:r>
              <w:rPr>
                <w:rFonts w:cs="Times New Roman"/>
                <w:sz w:val="20"/>
                <w:szCs w:val="20"/>
                <w:lang w:val="hr"/>
              </w:rPr>
              <w:t xml:space="preserve"> 77</w:t>
            </w:r>
          </w:p>
        </w:tc>
        <w:tc>
          <w:tcPr>
            <w:tcW w:w="1358" w:type="pct"/>
            <w:shd w:val="clear" w:color="auto" w:fill="auto"/>
          </w:tcPr>
          <w:p w14:paraId="6CDC10B9" w14:textId="77777777" w:rsidR="00CB4EBF" w:rsidRPr="001C431F" w:rsidRDefault="00CB4EBF" w:rsidP="0054762C">
            <w:pPr>
              <w:spacing w:after="0" w:line="240" w:lineRule="auto"/>
              <w:jc w:val="both"/>
              <w:rPr>
                <w:rFonts w:cs="Times New Roman"/>
                <w:bCs/>
                <w:iCs/>
                <w:sz w:val="20"/>
                <w:szCs w:val="20"/>
              </w:rPr>
            </w:pPr>
            <w:r>
              <w:rPr>
                <w:rFonts w:cs="Times New Roman"/>
                <w:sz w:val="20"/>
                <w:szCs w:val="20"/>
                <w:lang w:val="hr"/>
              </w:rPr>
              <w:t>Broj kulturnih i turističkih lokacija za koje je primljena potpora</w:t>
            </w:r>
          </w:p>
        </w:tc>
        <w:tc>
          <w:tcPr>
            <w:tcW w:w="714" w:type="pct"/>
          </w:tcPr>
          <w:p w14:paraId="517A6A2A" w14:textId="77777777" w:rsidR="00CB4EBF" w:rsidRPr="001C431F" w:rsidRDefault="00CB4EBF" w:rsidP="0054762C">
            <w:pPr>
              <w:spacing w:after="0" w:line="240" w:lineRule="auto"/>
              <w:rPr>
                <w:rFonts w:cs="Times New Roman"/>
                <w:bCs/>
                <w:iCs/>
                <w:sz w:val="20"/>
                <w:szCs w:val="20"/>
              </w:rPr>
            </w:pPr>
            <w:r>
              <w:rPr>
                <w:rFonts w:cs="Times New Roman"/>
                <w:sz w:val="20"/>
                <w:szCs w:val="20"/>
                <w:lang w:val="hr"/>
              </w:rPr>
              <w:t>kulturne i turističke lokacije</w:t>
            </w:r>
          </w:p>
        </w:tc>
        <w:tc>
          <w:tcPr>
            <w:tcW w:w="717" w:type="pct"/>
            <w:shd w:val="clear" w:color="auto" w:fill="auto"/>
          </w:tcPr>
          <w:p w14:paraId="6047A8E5" w14:textId="77777777" w:rsidR="00CB4EBF" w:rsidRPr="001C431F" w:rsidRDefault="00CB4EBF" w:rsidP="0054762C">
            <w:pPr>
              <w:spacing w:after="0" w:line="240" w:lineRule="auto"/>
              <w:jc w:val="center"/>
              <w:rPr>
                <w:rFonts w:cs="Times New Roman"/>
                <w:bCs/>
                <w:iCs/>
                <w:sz w:val="20"/>
                <w:szCs w:val="20"/>
              </w:rPr>
            </w:pPr>
            <w:r>
              <w:rPr>
                <w:rFonts w:cs="Times New Roman"/>
                <w:sz w:val="20"/>
                <w:szCs w:val="20"/>
                <w:lang w:val="hr"/>
              </w:rPr>
              <w:t>0</w:t>
            </w:r>
          </w:p>
        </w:tc>
        <w:tc>
          <w:tcPr>
            <w:tcW w:w="847" w:type="pct"/>
            <w:shd w:val="clear" w:color="auto" w:fill="auto"/>
          </w:tcPr>
          <w:p w14:paraId="382738A7" w14:textId="77777777" w:rsidR="00CB4EBF" w:rsidRPr="001C431F" w:rsidRDefault="00CB4EBF" w:rsidP="0054762C">
            <w:pPr>
              <w:spacing w:after="0" w:line="240" w:lineRule="auto"/>
              <w:jc w:val="center"/>
              <w:rPr>
                <w:rFonts w:cs="Times New Roman"/>
                <w:bCs/>
                <w:iCs/>
                <w:sz w:val="20"/>
                <w:szCs w:val="20"/>
              </w:rPr>
            </w:pPr>
            <w:r>
              <w:rPr>
                <w:rFonts w:cs="Times New Roman"/>
                <w:sz w:val="20"/>
                <w:szCs w:val="20"/>
                <w:lang w:val="hr"/>
              </w:rPr>
              <w:t>41</w:t>
            </w:r>
          </w:p>
        </w:tc>
      </w:tr>
      <w:tr w:rsidR="00CB4EBF" w:rsidRPr="00A23750" w14:paraId="2D9075D9" w14:textId="77777777" w:rsidTr="0054762C">
        <w:trPr>
          <w:trHeight w:val="579"/>
        </w:trPr>
        <w:tc>
          <w:tcPr>
            <w:tcW w:w="453" w:type="pct"/>
          </w:tcPr>
          <w:p w14:paraId="66E18BF4" w14:textId="77777777" w:rsidR="00CB4EBF" w:rsidRPr="001C431F" w:rsidRDefault="00CB4EBF" w:rsidP="0054762C">
            <w:pPr>
              <w:spacing w:after="0" w:line="240" w:lineRule="auto"/>
              <w:jc w:val="center"/>
              <w:rPr>
                <w:rFonts w:cs="Times New Roman"/>
                <w:bCs/>
                <w:iCs/>
                <w:sz w:val="20"/>
                <w:szCs w:val="20"/>
              </w:rPr>
            </w:pPr>
            <w:r>
              <w:rPr>
                <w:rFonts w:cs="Times New Roman"/>
                <w:sz w:val="20"/>
                <w:szCs w:val="20"/>
                <w:lang w:val="hr"/>
              </w:rPr>
              <w:t>3</w:t>
            </w:r>
          </w:p>
        </w:tc>
        <w:tc>
          <w:tcPr>
            <w:tcW w:w="475" w:type="pct"/>
          </w:tcPr>
          <w:p w14:paraId="75C2F9F6" w14:textId="77777777" w:rsidR="00CB4EBF" w:rsidRPr="001C431F" w:rsidRDefault="00CB4EBF" w:rsidP="0054762C">
            <w:pPr>
              <w:spacing w:after="0" w:line="240" w:lineRule="auto"/>
              <w:jc w:val="both"/>
              <w:rPr>
                <w:rFonts w:cs="Times New Roman"/>
                <w:bCs/>
                <w:iCs/>
                <w:sz w:val="20"/>
                <w:szCs w:val="20"/>
              </w:rPr>
            </w:pPr>
            <w:r>
              <w:rPr>
                <w:rFonts w:eastAsia="Times New Roman" w:cs="Times New Roman"/>
                <w:noProof/>
                <w:sz w:val="20"/>
                <w:szCs w:val="20"/>
                <w:lang w:val="hr"/>
              </w:rPr>
              <w:t>SO 4.6</w:t>
            </w:r>
          </w:p>
        </w:tc>
        <w:tc>
          <w:tcPr>
            <w:tcW w:w="437" w:type="pct"/>
          </w:tcPr>
          <w:p w14:paraId="53FC48E7" w14:textId="77777777" w:rsidR="00CB4EBF" w:rsidRPr="001C431F" w:rsidRDefault="00CB4EBF" w:rsidP="0054762C">
            <w:pPr>
              <w:spacing w:after="0" w:line="240" w:lineRule="auto"/>
              <w:jc w:val="both"/>
              <w:rPr>
                <w:rFonts w:cs="Times New Roman"/>
                <w:bCs/>
                <w:iCs/>
                <w:sz w:val="20"/>
                <w:szCs w:val="20"/>
              </w:rPr>
            </w:pPr>
            <w:proofErr w:type="spellStart"/>
            <w:r>
              <w:rPr>
                <w:rFonts w:cs="Times New Roman"/>
                <w:sz w:val="20"/>
                <w:szCs w:val="20"/>
                <w:lang w:val="hr"/>
              </w:rPr>
              <w:t>RCO</w:t>
            </w:r>
            <w:proofErr w:type="spellEnd"/>
            <w:r>
              <w:rPr>
                <w:rFonts w:cs="Times New Roman"/>
                <w:sz w:val="20"/>
                <w:szCs w:val="20"/>
                <w:lang w:val="hr"/>
              </w:rPr>
              <w:t xml:space="preserve"> 87</w:t>
            </w:r>
          </w:p>
        </w:tc>
        <w:tc>
          <w:tcPr>
            <w:tcW w:w="1358" w:type="pct"/>
            <w:shd w:val="clear" w:color="auto" w:fill="auto"/>
          </w:tcPr>
          <w:p w14:paraId="1085AD8C" w14:textId="77777777" w:rsidR="00CB4EBF" w:rsidRPr="001C431F" w:rsidRDefault="00CB4EBF" w:rsidP="0054762C">
            <w:pPr>
              <w:spacing w:after="0" w:line="240" w:lineRule="auto"/>
              <w:jc w:val="both"/>
              <w:rPr>
                <w:rFonts w:cs="Times New Roman"/>
                <w:bCs/>
                <w:iCs/>
                <w:sz w:val="20"/>
                <w:szCs w:val="20"/>
              </w:rPr>
            </w:pPr>
            <w:r>
              <w:rPr>
                <w:rFonts w:cs="Times New Roman"/>
                <w:sz w:val="20"/>
                <w:szCs w:val="20"/>
                <w:lang w:val="hr"/>
              </w:rPr>
              <w:t>Organizacije koje surađuju preko granica</w:t>
            </w:r>
          </w:p>
        </w:tc>
        <w:tc>
          <w:tcPr>
            <w:tcW w:w="714" w:type="pct"/>
          </w:tcPr>
          <w:p w14:paraId="735F8F5A" w14:textId="77777777" w:rsidR="00CB4EBF" w:rsidRPr="001C431F" w:rsidRDefault="00CB4EBF" w:rsidP="0054762C">
            <w:pPr>
              <w:spacing w:after="0" w:line="240" w:lineRule="auto"/>
              <w:rPr>
                <w:rFonts w:cs="Times New Roman"/>
                <w:bCs/>
                <w:iCs/>
                <w:sz w:val="20"/>
                <w:szCs w:val="20"/>
              </w:rPr>
            </w:pPr>
            <w:r>
              <w:rPr>
                <w:rFonts w:cs="Times New Roman"/>
                <w:sz w:val="20"/>
                <w:szCs w:val="20"/>
                <w:lang w:val="hr"/>
              </w:rPr>
              <w:t>organizacije</w:t>
            </w:r>
          </w:p>
        </w:tc>
        <w:tc>
          <w:tcPr>
            <w:tcW w:w="717" w:type="pct"/>
            <w:shd w:val="clear" w:color="auto" w:fill="auto"/>
          </w:tcPr>
          <w:p w14:paraId="340B5214" w14:textId="77777777" w:rsidR="00CB4EBF" w:rsidRPr="001C431F" w:rsidRDefault="00CB4EBF" w:rsidP="0054762C">
            <w:pPr>
              <w:spacing w:after="0" w:line="240" w:lineRule="auto"/>
              <w:jc w:val="center"/>
              <w:rPr>
                <w:rFonts w:cs="Times New Roman"/>
                <w:bCs/>
                <w:iCs/>
                <w:sz w:val="20"/>
                <w:szCs w:val="20"/>
              </w:rPr>
            </w:pPr>
            <w:r>
              <w:rPr>
                <w:rFonts w:cs="Times New Roman"/>
                <w:sz w:val="20"/>
                <w:szCs w:val="20"/>
                <w:lang w:val="hr"/>
              </w:rPr>
              <w:t>0</w:t>
            </w:r>
          </w:p>
        </w:tc>
        <w:tc>
          <w:tcPr>
            <w:tcW w:w="847" w:type="pct"/>
            <w:shd w:val="clear" w:color="auto" w:fill="auto"/>
          </w:tcPr>
          <w:p w14:paraId="31588FC6" w14:textId="77777777" w:rsidR="00CB4EBF" w:rsidRPr="001C431F" w:rsidRDefault="00CB4EBF" w:rsidP="0054762C">
            <w:pPr>
              <w:spacing w:after="0" w:line="240" w:lineRule="auto"/>
              <w:jc w:val="center"/>
              <w:rPr>
                <w:rFonts w:cs="Times New Roman"/>
                <w:bCs/>
                <w:iCs/>
                <w:sz w:val="20"/>
                <w:szCs w:val="20"/>
              </w:rPr>
            </w:pPr>
            <w:r>
              <w:rPr>
                <w:rFonts w:cs="Times New Roman"/>
                <w:sz w:val="20"/>
                <w:szCs w:val="20"/>
                <w:lang w:val="hr"/>
              </w:rPr>
              <w:t>49</w:t>
            </w:r>
          </w:p>
        </w:tc>
      </w:tr>
    </w:tbl>
    <w:p w14:paraId="1A05D449" w14:textId="77777777" w:rsidR="00CB4EBF" w:rsidRPr="001C431F" w:rsidRDefault="00CB4EBF" w:rsidP="00CB4EBF">
      <w:pPr>
        <w:spacing w:after="0" w:line="240" w:lineRule="auto"/>
        <w:rPr>
          <w:rFonts w:eastAsia="Times New Roman" w:cs="Times New Roman"/>
          <w:iCs/>
          <w:sz w:val="20"/>
          <w:szCs w:val="20"/>
        </w:rPr>
      </w:pPr>
    </w:p>
    <w:p w14:paraId="6CADAED0" w14:textId="77777777" w:rsidR="00CB4EBF" w:rsidRPr="001C431F" w:rsidRDefault="00CB4EBF" w:rsidP="00CB4EBF">
      <w:pPr>
        <w:spacing w:after="0" w:line="240" w:lineRule="auto"/>
        <w:rPr>
          <w:rFonts w:eastAsia="Times New Roman" w:cs="Times New Roman"/>
          <w:iCs/>
          <w:sz w:val="20"/>
          <w:szCs w:val="20"/>
        </w:rPr>
      </w:pPr>
      <w:r>
        <w:rPr>
          <w:rFonts w:eastAsia="Times New Roman" w:cs="Times New Roman"/>
          <w:sz w:val="20"/>
          <w:szCs w:val="20"/>
          <w:lang w:val="hr"/>
        </w:rPr>
        <w:t>Tablica 3.: Pokazatelji rezultata</w:t>
      </w:r>
    </w:p>
    <w:tbl>
      <w:tblPr>
        <w:tblW w:w="51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1050"/>
        <w:gridCol w:w="883"/>
        <w:gridCol w:w="1238"/>
        <w:gridCol w:w="1661"/>
        <w:gridCol w:w="1083"/>
        <w:gridCol w:w="1172"/>
        <w:gridCol w:w="1083"/>
        <w:gridCol w:w="1261"/>
        <w:gridCol w:w="1128"/>
      </w:tblGrid>
      <w:tr w:rsidR="00CB4EBF" w:rsidRPr="00A23750" w14:paraId="4D788C8D" w14:textId="77777777" w:rsidTr="0054762C">
        <w:trPr>
          <w:trHeight w:val="947"/>
        </w:trPr>
        <w:tc>
          <w:tcPr>
            <w:tcW w:w="457" w:type="pct"/>
          </w:tcPr>
          <w:p w14:paraId="5E18478A" w14:textId="77777777" w:rsidR="00CB4EBF" w:rsidRPr="001C431F" w:rsidRDefault="00CB4EBF" w:rsidP="0054762C">
            <w:pPr>
              <w:spacing w:after="0" w:line="240" w:lineRule="auto"/>
              <w:jc w:val="both"/>
              <w:rPr>
                <w:rFonts w:cs="Times New Roman"/>
                <w:b/>
                <w:sz w:val="20"/>
                <w:szCs w:val="20"/>
              </w:rPr>
            </w:pPr>
            <w:r>
              <w:rPr>
                <w:rFonts w:cs="Times New Roman"/>
                <w:b/>
                <w:bCs/>
                <w:sz w:val="20"/>
                <w:szCs w:val="20"/>
                <w:lang w:val="hr"/>
              </w:rPr>
              <w:t xml:space="preserve">Prioritet </w:t>
            </w:r>
          </w:p>
        </w:tc>
        <w:tc>
          <w:tcPr>
            <w:tcW w:w="479" w:type="pct"/>
          </w:tcPr>
          <w:p w14:paraId="647D5B36" w14:textId="77777777" w:rsidR="00CB4EBF" w:rsidRPr="001C431F" w:rsidRDefault="00CB4EBF" w:rsidP="0054762C">
            <w:pPr>
              <w:spacing w:after="0" w:line="240" w:lineRule="auto"/>
              <w:jc w:val="both"/>
              <w:rPr>
                <w:rFonts w:cs="Times New Roman"/>
                <w:b/>
                <w:sz w:val="20"/>
                <w:szCs w:val="20"/>
              </w:rPr>
            </w:pPr>
            <w:r>
              <w:rPr>
                <w:rFonts w:cs="Times New Roman"/>
                <w:b/>
                <w:bCs/>
                <w:sz w:val="20"/>
                <w:szCs w:val="20"/>
                <w:lang w:val="hr"/>
              </w:rPr>
              <w:t>Specifični cilj</w:t>
            </w:r>
          </w:p>
        </w:tc>
        <w:tc>
          <w:tcPr>
            <w:tcW w:w="424" w:type="pct"/>
          </w:tcPr>
          <w:p w14:paraId="38211DE7" w14:textId="77777777" w:rsidR="00CB4EBF" w:rsidRPr="001C431F" w:rsidRDefault="00CB4EBF" w:rsidP="0054762C">
            <w:pPr>
              <w:spacing w:after="0" w:line="240" w:lineRule="auto"/>
              <w:jc w:val="both"/>
              <w:rPr>
                <w:rFonts w:cs="Times New Roman"/>
                <w:b/>
                <w:sz w:val="20"/>
                <w:szCs w:val="20"/>
              </w:rPr>
            </w:pPr>
            <w:r>
              <w:rPr>
                <w:rFonts w:cs="Times New Roman"/>
                <w:b/>
                <w:bCs/>
                <w:sz w:val="20"/>
                <w:szCs w:val="20"/>
                <w:lang w:val="hr"/>
              </w:rPr>
              <w:t>Oznaka</w:t>
            </w:r>
          </w:p>
        </w:tc>
        <w:tc>
          <w:tcPr>
            <w:tcW w:w="557" w:type="pct"/>
            <w:shd w:val="clear" w:color="auto" w:fill="auto"/>
          </w:tcPr>
          <w:p w14:paraId="69850759" w14:textId="77777777" w:rsidR="00CB4EBF" w:rsidRPr="001C431F" w:rsidRDefault="00CB4EBF" w:rsidP="0054762C">
            <w:pPr>
              <w:spacing w:after="0" w:line="240" w:lineRule="auto"/>
              <w:jc w:val="both"/>
              <w:rPr>
                <w:rFonts w:cs="Times New Roman"/>
                <w:b/>
                <w:sz w:val="20"/>
                <w:szCs w:val="20"/>
              </w:rPr>
            </w:pPr>
            <w:r>
              <w:rPr>
                <w:rFonts w:cs="Times New Roman"/>
                <w:b/>
                <w:bCs/>
                <w:sz w:val="20"/>
                <w:szCs w:val="20"/>
                <w:lang w:val="hr"/>
              </w:rPr>
              <w:t xml:space="preserve">Pokazatelj </w:t>
            </w:r>
          </w:p>
        </w:tc>
        <w:tc>
          <w:tcPr>
            <w:tcW w:w="636" w:type="pct"/>
          </w:tcPr>
          <w:p w14:paraId="2F77D8C5" w14:textId="77777777" w:rsidR="00CB4EBF" w:rsidRPr="001C431F" w:rsidRDefault="00CB4EBF" w:rsidP="0054762C">
            <w:pPr>
              <w:spacing w:after="0" w:line="240" w:lineRule="auto"/>
              <w:jc w:val="both"/>
              <w:rPr>
                <w:rFonts w:cs="Times New Roman"/>
                <w:b/>
                <w:sz w:val="20"/>
                <w:szCs w:val="20"/>
              </w:rPr>
            </w:pPr>
            <w:r>
              <w:rPr>
                <w:rFonts w:cs="Times New Roman"/>
                <w:b/>
                <w:bCs/>
                <w:sz w:val="20"/>
                <w:szCs w:val="20"/>
                <w:lang w:val="hr"/>
              </w:rPr>
              <w:t>Mjerna jedinica</w:t>
            </w:r>
          </w:p>
        </w:tc>
        <w:tc>
          <w:tcPr>
            <w:tcW w:w="478" w:type="pct"/>
          </w:tcPr>
          <w:p w14:paraId="23C3C593" w14:textId="77777777" w:rsidR="00CB4EBF" w:rsidRPr="001C431F" w:rsidRDefault="00CB4EBF" w:rsidP="0054762C">
            <w:pPr>
              <w:spacing w:after="0" w:line="240" w:lineRule="auto"/>
              <w:jc w:val="both"/>
              <w:rPr>
                <w:rFonts w:cs="Times New Roman"/>
                <w:b/>
                <w:sz w:val="20"/>
                <w:szCs w:val="20"/>
              </w:rPr>
            </w:pPr>
            <w:r>
              <w:rPr>
                <w:rFonts w:cs="Times New Roman"/>
                <w:b/>
                <w:bCs/>
                <w:sz w:val="20"/>
                <w:szCs w:val="20"/>
                <w:lang w:val="hr"/>
              </w:rPr>
              <w:t>Osnovna vrijednost</w:t>
            </w:r>
          </w:p>
        </w:tc>
        <w:tc>
          <w:tcPr>
            <w:tcW w:w="557" w:type="pct"/>
          </w:tcPr>
          <w:p w14:paraId="287F613C" w14:textId="77777777" w:rsidR="00CB4EBF" w:rsidRPr="001C431F" w:rsidRDefault="00CB4EBF" w:rsidP="0054762C">
            <w:pPr>
              <w:spacing w:after="0" w:line="240" w:lineRule="auto"/>
              <w:jc w:val="both"/>
              <w:rPr>
                <w:rFonts w:cs="Times New Roman"/>
                <w:b/>
                <w:sz w:val="20"/>
                <w:szCs w:val="20"/>
              </w:rPr>
            </w:pPr>
            <w:r>
              <w:rPr>
                <w:rFonts w:cs="Times New Roman"/>
                <w:b/>
                <w:bCs/>
                <w:sz w:val="20"/>
                <w:szCs w:val="20"/>
                <w:lang w:val="hr"/>
              </w:rPr>
              <w:t>Referentna godina</w:t>
            </w:r>
          </w:p>
        </w:tc>
        <w:tc>
          <w:tcPr>
            <w:tcW w:w="478" w:type="pct"/>
            <w:shd w:val="clear" w:color="auto" w:fill="auto"/>
          </w:tcPr>
          <w:p w14:paraId="39C2038E" w14:textId="77777777" w:rsidR="00CB4EBF" w:rsidRPr="001C431F" w:rsidRDefault="00CB4EBF" w:rsidP="0054762C">
            <w:pPr>
              <w:spacing w:after="0" w:line="240" w:lineRule="auto"/>
              <w:jc w:val="both"/>
              <w:rPr>
                <w:rFonts w:cs="Times New Roman"/>
                <w:b/>
                <w:sz w:val="20"/>
                <w:szCs w:val="20"/>
              </w:rPr>
            </w:pPr>
            <w:r>
              <w:rPr>
                <w:rFonts w:cs="Times New Roman"/>
                <w:b/>
                <w:bCs/>
                <w:sz w:val="20"/>
                <w:szCs w:val="20"/>
                <w:lang w:val="hr"/>
              </w:rPr>
              <w:t>Konačna ciljna vrijednost (2029.)</w:t>
            </w:r>
          </w:p>
        </w:tc>
        <w:tc>
          <w:tcPr>
            <w:tcW w:w="398" w:type="pct"/>
            <w:shd w:val="clear" w:color="auto" w:fill="auto"/>
          </w:tcPr>
          <w:p w14:paraId="630F205F" w14:textId="77777777" w:rsidR="00CB4EBF" w:rsidRPr="001C431F" w:rsidRDefault="00CB4EBF" w:rsidP="0054762C">
            <w:pPr>
              <w:spacing w:after="0" w:line="240" w:lineRule="auto"/>
              <w:jc w:val="both"/>
              <w:rPr>
                <w:rFonts w:cs="Times New Roman"/>
                <w:b/>
                <w:sz w:val="20"/>
                <w:szCs w:val="20"/>
              </w:rPr>
            </w:pPr>
            <w:r>
              <w:rPr>
                <w:rFonts w:cs="Times New Roman"/>
                <w:b/>
                <w:bCs/>
                <w:sz w:val="20"/>
                <w:szCs w:val="20"/>
                <w:lang w:val="hr"/>
              </w:rPr>
              <w:t>Izvor podataka</w:t>
            </w:r>
          </w:p>
        </w:tc>
        <w:tc>
          <w:tcPr>
            <w:tcW w:w="536" w:type="pct"/>
          </w:tcPr>
          <w:p w14:paraId="5659C8C8" w14:textId="77777777" w:rsidR="00CB4EBF" w:rsidRPr="001C431F" w:rsidRDefault="00CB4EBF" w:rsidP="0054762C">
            <w:pPr>
              <w:spacing w:after="0" w:line="480" w:lineRule="auto"/>
              <w:jc w:val="both"/>
              <w:rPr>
                <w:rFonts w:cs="Times New Roman"/>
                <w:b/>
                <w:sz w:val="20"/>
                <w:szCs w:val="20"/>
              </w:rPr>
            </w:pPr>
            <w:r>
              <w:rPr>
                <w:rFonts w:cs="Times New Roman"/>
                <w:b/>
                <w:bCs/>
                <w:sz w:val="20"/>
                <w:szCs w:val="20"/>
                <w:lang w:val="hr"/>
              </w:rPr>
              <w:t>Napomene</w:t>
            </w:r>
          </w:p>
        </w:tc>
      </w:tr>
      <w:tr w:rsidR="00CB4EBF" w:rsidRPr="00A23750" w14:paraId="4E37D22B" w14:textId="77777777" w:rsidTr="0054762C">
        <w:trPr>
          <w:trHeight w:val="629"/>
        </w:trPr>
        <w:tc>
          <w:tcPr>
            <w:tcW w:w="457" w:type="pct"/>
          </w:tcPr>
          <w:p w14:paraId="24B4ECA5" w14:textId="77777777" w:rsidR="00CB4EBF" w:rsidRPr="001C431F" w:rsidRDefault="00CB4EBF" w:rsidP="0054762C">
            <w:pPr>
              <w:spacing w:after="0" w:line="240" w:lineRule="auto"/>
              <w:jc w:val="center"/>
              <w:rPr>
                <w:rFonts w:cs="Times New Roman"/>
                <w:iCs/>
                <w:sz w:val="20"/>
                <w:szCs w:val="20"/>
              </w:rPr>
            </w:pPr>
            <w:r>
              <w:rPr>
                <w:rFonts w:cs="Times New Roman"/>
                <w:sz w:val="20"/>
                <w:szCs w:val="20"/>
                <w:lang w:val="hr"/>
              </w:rPr>
              <w:t>3</w:t>
            </w:r>
          </w:p>
        </w:tc>
        <w:tc>
          <w:tcPr>
            <w:tcW w:w="479" w:type="pct"/>
          </w:tcPr>
          <w:p w14:paraId="4BE72D3D" w14:textId="77777777" w:rsidR="00CB4EBF" w:rsidRPr="001C431F" w:rsidRDefault="00CB4EBF" w:rsidP="0054762C">
            <w:pPr>
              <w:spacing w:after="0" w:line="240" w:lineRule="auto"/>
              <w:rPr>
                <w:rFonts w:cs="Times New Roman"/>
                <w:iCs/>
                <w:sz w:val="20"/>
                <w:szCs w:val="20"/>
              </w:rPr>
            </w:pPr>
            <w:r>
              <w:rPr>
                <w:rFonts w:eastAsia="Times New Roman" w:cs="Times New Roman"/>
                <w:noProof/>
                <w:sz w:val="20"/>
                <w:szCs w:val="20"/>
                <w:lang w:val="hr"/>
              </w:rPr>
              <w:t>SO 4.6</w:t>
            </w:r>
          </w:p>
        </w:tc>
        <w:tc>
          <w:tcPr>
            <w:tcW w:w="424" w:type="pct"/>
          </w:tcPr>
          <w:p w14:paraId="7EBF58F2" w14:textId="77777777" w:rsidR="00CB4EBF" w:rsidRPr="001C431F" w:rsidRDefault="00CB4EBF" w:rsidP="0054762C">
            <w:pPr>
              <w:spacing w:after="0" w:line="240" w:lineRule="auto"/>
              <w:rPr>
                <w:rFonts w:cs="Times New Roman"/>
                <w:iCs/>
                <w:sz w:val="20"/>
                <w:szCs w:val="20"/>
              </w:rPr>
            </w:pPr>
            <w:proofErr w:type="spellStart"/>
            <w:r>
              <w:rPr>
                <w:rFonts w:cs="Times New Roman"/>
                <w:sz w:val="20"/>
                <w:szCs w:val="20"/>
                <w:lang w:val="hr"/>
              </w:rPr>
              <w:t>RCR</w:t>
            </w:r>
            <w:proofErr w:type="spellEnd"/>
            <w:r>
              <w:rPr>
                <w:rFonts w:cs="Times New Roman"/>
                <w:sz w:val="20"/>
                <w:szCs w:val="20"/>
                <w:lang w:val="hr"/>
              </w:rPr>
              <w:t xml:space="preserve"> 77</w:t>
            </w:r>
          </w:p>
        </w:tc>
        <w:tc>
          <w:tcPr>
            <w:tcW w:w="557" w:type="pct"/>
            <w:shd w:val="clear" w:color="auto" w:fill="auto"/>
          </w:tcPr>
          <w:p w14:paraId="0DC42950" w14:textId="77777777" w:rsidR="00CB4EBF" w:rsidRPr="001C431F" w:rsidRDefault="00CB4EBF" w:rsidP="0054762C">
            <w:pPr>
              <w:spacing w:after="0" w:line="240" w:lineRule="auto"/>
              <w:rPr>
                <w:rFonts w:cs="Times New Roman"/>
                <w:iCs/>
                <w:sz w:val="20"/>
                <w:szCs w:val="20"/>
              </w:rPr>
            </w:pPr>
            <w:r>
              <w:rPr>
                <w:rFonts w:cs="Times New Roman"/>
                <w:sz w:val="20"/>
                <w:szCs w:val="20"/>
                <w:lang w:val="hr"/>
              </w:rPr>
              <w:t>Posjetitelji kulturnih i turističkih lokacija za koje je primljena potpora</w:t>
            </w:r>
          </w:p>
        </w:tc>
        <w:tc>
          <w:tcPr>
            <w:tcW w:w="636" w:type="pct"/>
          </w:tcPr>
          <w:p w14:paraId="39719D08" w14:textId="77777777" w:rsidR="00CB4EBF" w:rsidRPr="001C431F" w:rsidRDefault="00CB4EBF" w:rsidP="0054762C">
            <w:pPr>
              <w:spacing w:after="0" w:line="240" w:lineRule="auto"/>
              <w:rPr>
                <w:rFonts w:cs="Times New Roman"/>
                <w:iCs/>
                <w:sz w:val="20"/>
                <w:szCs w:val="20"/>
              </w:rPr>
            </w:pPr>
            <w:r>
              <w:rPr>
                <w:rFonts w:cs="Times New Roman"/>
                <w:sz w:val="20"/>
                <w:szCs w:val="20"/>
                <w:lang w:val="hr"/>
              </w:rPr>
              <w:t>posjetitelji/godina</w:t>
            </w:r>
          </w:p>
        </w:tc>
        <w:tc>
          <w:tcPr>
            <w:tcW w:w="478" w:type="pct"/>
          </w:tcPr>
          <w:p w14:paraId="56A213DF" w14:textId="77777777" w:rsidR="00CB4EBF" w:rsidRPr="001C431F" w:rsidRDefault="00CB4EBF" w:rsidP="0054762C">
            <w:pPr>
              <w:spacing w:after="0" w:line="240" w:lineRule="auto"/>
              <w:jc w:val="center"/>
              <w:rPr>
                <w:rFonts w:cs="Times New Roman"/>
                <w:iCs/>
                <w:sz w:val="20"/>
                <w:szCs w:val="20"/>
              </w:rPr>
            </w:pPr>
            <w:r>
              <w:rPr>
                <w:rFonts w:cs="Times New Roman"/>
                <w:sz w:val="20"/>
                <w:szCs w:val="20"/>
                <w:lang w:val="hr"/>
              </w:rPr>
              <w:t>0</w:t>
            </w:r>
          </w:p>
        </w:tc>
        <w:tc>
          <w:tcPr>
            <w:tcW w:w="557" w:type="pct"/>
          </w:tcPr>
          <w:p w14:paraId="22E1354B" w14:textId="77777777" w:rsidR="00CB4EBF" w:rsidRPr="001C431F" w:rsidRDefault="00CB4EBF" w:rsidP="0054762C">
            <w:pPr>
              <w:spacing w:after="0" w:line="240" w:lineRule="auto"/>
              <w:jc w:val="center"/>
              <w:rPr>
                <w:rFonts w:cs="Times New Roman"/>
                <w:iCs/>
                <w:sz w:val="20"/>
                <w:szCs w:val="20"/>
              </w:rPr>
            </w:pPr>
            <w:r>
              <w:rPr>
                <w:rFonts w:cs="Times New Roman"/>
                <w:sz w:val="20"/>
                <w:szCs w:val="20"/>
                <w:lang w:val="hr"/>
              </w:rPr>
              <w:t>2021.</w:t>
            </w:r>
          </w:p>
        </w:tc>
        <w:tc>
          <w:tcPr>
            <w:tcW w:w="478" w:type="pct"/>
            <w:shd w:val="clear" w:color="auto" w:fill="auto"/>
          </w:tcPr>
          <w:p w14:paraId="34C64B93" w14:textId="77777777" w:rsidR="00CB4EBF" w:rsidRPr="001C431F" w:rsidRDefault="00CB4EBF" w:rsidP="0054762C">
            <w:pPr>
              <w:spacing w:after="0" w:line="240" w:lineRule="auto"/>
              <w:jc w:val="center"/>
              <w:rPr>
                <w:rFonts w:cs="Times New Roman"/>
                <w:iCs/>
                <w:sz w:val="20"/>
                <w:szCs w:val="20"/>
              </w:rPr>
            </w:pPr>
            <w:r>
              <w:rPr>
                <w:rFonts w:cs="Times New Roman"/>
                <w:sz w:val="20"/>
                <w:szCs w:val="20"/>
                <w:lang w:val="hr"/>
              </w:rPr>
              <w:t>50 000</w:t>
            </w:r>
          </w:p>
        </w:tc>
        <w:tc>
          <w:tcPr>
            <w:tcW w:w="398" w:type="pct"/>
            <w:shd w:val="clear" w:color="auto" w:fill="auto"/>
          </w:tcPr>
          <w:p w14:paraId="364E0B43" w14:textId="77777777" w:rsidR="00CB4EBF" w:rsidRPr="001C431F" w:rsidRDefault="00CB4EBF" w:rsidP="0054762C">
            <w:pPr>
              <w:spacing w:after="0" w:line="240" w:lineRule="auto"/>
              <w:rPr>
                <w:rFonts w:cs="Times New Roman"/>
                <w:iCs/>
                <w:sz w:val="20"/>
                <w:szCs w:val="20"/>
              </w:rPr>
            </w:pPr>
            <w:r>
              <w:rPr>
                <w:rFonts w:cs="Times New Roman"/>
                <w:sz w:val="20"/>
                <w:szCs w:val="20"/>
                <w:lang w:val="hr"/>
              </w:rPr>
              <w:t>projekti koji su primili potporu</w:t>
            </w:r>
          </w:p>
        </w:tc>
        <w:tc>
          <w:tcPr>
            <w:tcW w:w="536" w:type="pct"/>
          </w:tcPr>
          <w:p w14:paraId="6B12E067" w14:textId="77777777" w:rsidR="00CB4EBF" w:rsidRPr="001C431F" w:rsidRDefault="00CB4EBF" w:rsidP="0054762C">
            <w:pPr>
              <w:spacing w:after="0" w:line="240" w:lineRule="auto"/>
              <w:rPr>
                <w:rFonts w:cs="Times New Roman"/>
                <w:iCs/>
                <w:sz w:val="20"/>
                <w:szCs w:val="20"/>
              </w:rPr>
            </w:pPr>
          </w:p>
        </w:tc>
      </w:tr>
      <w:tr w:rsidR="00CB4EBF" w:rsidRPr="00A23750" w14:paraId="1E4A0F95" w14:textId="77777777" w:rsidTr="0054762C">
        <w:trPr>
          <w:trHeight w:val="629"/>
        </w:trPr>
        <w:tc>
          <w:tcPr>
            <w:tcW w:w="457" w:type="pct"/>
          </w:tcPr>
          <w:p w14:paraId="4E86941C" w14:textId="77777777" w:rsidR="00CB4EBF" w:rsidRPr="001C431F" w:rsidRDefault="00CB4EBF" w:rsidP="0054762C">
            <w:pPr>
              <w:spacing w:after="0" w:line="240" w:lineRule="auto"/>
              <w:jc w:val="center"/>
              <w:rPr>
                <w:rFonts w:cs="Times New Roman"/>
                <w:iCs/>
                <w:sz w:val="20"/>
                <w:szCs w:val="20"/>
              </w:rPr>
            </w:pPr>
            <w:r>
              <w:rPr>
                <w:rFonts w:cs="Times New Roman"/>
                <w:sz w:val="20"/>
                <w:szCs w:val="20"/>
                <w:lang w:val="hr"/>
              </w:rPr>
              <w:t>3</w:t>
            </w:r>
          </w:p>
        </w:tc>
        <w:tc>
          <w:tcPr>
            <w:tcW w:w="479" w:type="pct"/>
          </w:tcPr>
          <w:p w14:paraId="1BECE3DF" w14:textId="77777777" w:rsidR="00CB4EBF" w:rsidRPr="001C431F" w:rsidRDefault="00CB4EBF" w:rsidP="0054762C">
            <w:pPr>
              <w:spacing w:after="0" w:line="240" w:lineRule="auto"/>
              <w:rPr>
                <w:rFonts w:cs="Times New Roman"/>
                <w:bCs/>
                <w:iCs/>
                <w:sz w:val="20"/>
                <w:szCs w:val="20"/>
              </w:rPr>
            </w:pPr>
            <w:r>
              <w:rPr>
                <w:rFonts w:eastAsia="Times New Roman" w:cs="Times New Roman"/>
                <w:noProof/>
                <w:sz w:val="20"/>
                <w:szCs w:val="20"/>
                <w:lang w:val="hr"/>
              </w:rPr>
              <w:t>SO 4.6</w:t>
            </w:r>
          </w:p>
        </w:tc>
        <w:tc>
          <w:tcPr>
            <w:tcW w:w="424" w:type="pct"/>
          </w:tcPr>
          <w:p w14:paraId="69EE927D" w14:textId="77777777" w:rsidR="00CB4EBF" w:rsidRPr="001C431F" w:rsidRDefault="00CB4EBF" w:rsidP="0054762C">
            <w:pPr>
              <w:spacing w:after="0" w:line="240" w:lineRule="auto"/>
              <w:rPr>
                <w:rFonts w:cs="Times New Roman"/>
                <w:iCs/>
                <w:sz w:val="20"/>
                <w:szCs w:val="20"/>
              </w:rPr>
            </w:pPr>
            <w:proofErr w:type="spellStart"/>
            <w:r>
              <w:rPr>
                <w:rFonts w:cs="Times New Roman"/>
                <w:sz w:val="20"/>
                <w:szCs w:val="20"/>
                <w:lang w:val="hr"/>
              </w:rPr>
              <w:t>RCR</w:t>
            </w:r>
            <w:proofErr w:type="spellEnd"/>
            <w:r>
              <w:rPr>
                <w:rFonts w:cs="Times New Roman"/>
                <w:sz w:val="20"/>
                <w:szCs w:val="20"/>
                <w:lang w:val="hr"/>
              </w:rPr>
              <w:t xml:space="preserve"> 84</w:t>
            </w:r>
          </w:p>
        </w:tc>
        <w:tc>
          <w:tcPr>
            <w:tcW w:w="557" w:type="pct"/>
            <w:shd w:val="clear" w:color="auto" w:fill="auto"/>
          </w:tcPr>
          <w:p w14:paraId="0076B342" w14:textId="77777777" w:rsidR="00CB4EBF" w:rsidRPr="001C431F" w:rsidRDefault="00CB4EBF" w:rsidP="0054762C">
            <w:pPr>
              <w:spacing w:after="0" w:line="240" w:lineRule="auto"/>
              <w:rPr>
                <w:rFonts w:cs="Times New Roman"/>
                <w:iCs/>
                <w:sz w:val="20"/>
                <w:szCs w:val="20"/>
              </w:rPr>
            </w:pPr>
            <w:r>
              <w:rPr>
                <w:rFonts w:cs="Times New Roman"/>
                <w:sz w:val="20"/>
                <w:szCs w:val="20"/>
                <w:lang w:val="hr"/>
              </w:rPr>
              <w:t>Organizacije koje surađuju preko granica nakon okončanja projekta</w:t>
            </w:r>
          </w:p>
        </w:tc>
        <w:tc>
          <w:tcPr>
            <w:tcW w:w="636" w:type="pct"/>
          </w:tcPr>
          <w:p w14:paraId="64C7A964" w14:textId="77777777" w:rsidR="00CB4EBF" w:rsidRPr="001C431F" w:rsidRDefault="00CB4EBF" w:rsidP="0054762C">
            <w:pPr>
              <w:spacing w:after="0" w:line="240" w:lineRule="auto"/>
              <w:rPr>
                <w:rFonts w:cs="Times New Roman"/>
                <w:iCs/>
                <w:sz w:val="20"/>
                <w:szCs w:val="20"/>
              </w:rPr>
            </w:pPr>
            <w:r>
              <w:rPr>
                <w:rFonts w:cs="Times New Roman"/>
                <w:sz w:val="20"/>
                <w:szCs w:val="20"/>
                <w:lang w:val="hr"/>
              </w:rPr>
              <w:t>organizacije</w:t>
            </w:r>
          </w:p>
        </w:tc>
        <w:tc>
          <w:tcPr>
            <w:tcW w:w="478" w:type="pct"/>
          </w:tcPr>
          <w:p w14:paraId="5ABA46EE" w14:textId="77777777" w:rsidR="00CB4EBF" w:rsidRPr="001C431F" w:rsidRDefault="00CB4EBF" w:rsidP="0054762C">
            <w:pPr>
              <w:spacing w:after="0" w:line="240" w:lineRule="auto"/>
              <w:jc w:val="center"/>
              <w:rPr>
                <w:rFonts w:cs="Times New Roman"/>
                <w:iCs/>
                <w:sz w:val="20"/>
                <w:szCs w:val="20"/>
              </w:rPr>
            </w:pPr>
            <w:r>
              <w:rPr>
                <w:rFonts w:cs="Times New Roman"/>
                <w:sz w:val="20"/>
                <w:szCs w:val="20"/>
                <w:lang w:val="hr"/>
              </w:rPr>
              <w:t>0</w:t>
            </w:r>
          </w:p>
        </w:tc>
        <w:tc>
          <w:tcPr>
            <w:tcW w:w="557" w:type="pct"/>
          </w:tcPr>
          <w:p w14:paraId="37400974" w14:textId="77777777" w:rsidR="00CB4EBF" w:rsidRPr="001C431F" w:rsidRDefault="00CB4EBF" w:rsidP="0054762C">
            <w:pPr>
              <w:spacing w:after="0" w:line="240" w:lineRule="auto"/>
              <w:jc w:val="center"/>
              <w:rPr>
                <w:rFonts w:cs="Times New Roman"/>
                <w:iCs/>
                <w:sz w:val="20"/>
                <w:szCs w:val="20"/>
              </w:rPr>
            </w:pPr>
            <w:r>
              <w:rPr>
                <w:rFonts w:cs="Times New Roman"/>
                <w:sz w:val="20"/>
                <w:szCs w:val="20"/>
                <w:lang w:val="hr"/>
              </w:rPr>
              <w:t>2021.</w:t>
            </w:r>
          </w:p>
        </w:tc>
        <w:tc>
          <w:tcPr>
            <w:tcW w:w="478" w:type="pct"/>
            <w:shd w:val="clear" w:color="auto" w:fill="auto"/>
          </w:tcPr>
          <w:p w14:paraId="2EB77DAF" w14:textId="77777777" w:rsidR="00CB4EBF" w:rsidRPr="001C431F" w:rsidDel="00C90524" w:rsidRDefault="00CB4EBF" w:rsidP="0054762C">
            <w:pPr>
              <w:spacing w:after="0" w:line="240" w:lineRule="auto"/>
              <w:jc w:val="center"/>
              <w:rPr>
                <w:rFonts w:cs="Times New Roman"/>
                <w:iCs/>
                <w:sz w:val="20"/>
                <w:szCs w:val="20"/>
              </w:rPr>
            </w:pPr>
            <w:r>
              <w:rPr>
                <w:rFonts w:cs="Times New Roman"/>
                <w:sz w:val="20"/>
                <w:szCs w:val="20"/>
                <w:lang w:val="hr"/>
              </w:rPr>
              <w:t>29</w:t>
            </w:r>
          </w:p>
        </w:tc>
        <w:tc>
          <w:tcPr>
            <w:tcW w:w="398" w:type="pct"/>
            <w:shd w:val="clear" w:color="auto" w:fill="auto"/>
          </w:tcPr>
          <w:p w14:paraId="505D748C" w14:textId="77777777" w:rsidR="00CB4EBF" w:rsidRPr="001C431F" w:rsidRDefault="00CB4EBF" w:rsidP="0054762C">
            <w:pPr>
              <w:spacing w:after="0" w:line="240" w:lineRule="auto"/>
              <w:rPr>
                <w:rFonts w:cs="Times New Roman"/>
                <w:iCs/>
                <w:sz w:val="20"/>
                <w:szCs w:val="20"/>
              </w:rPr>
            </w:pPr>
            <w:r>
              <w:rPr>
                <w:rFonts w:cs="Times New Roman"/>
                <w:sz w:val="20"/>
                <w:szCs w:val="20"/>
                <w:lang w:val="hr"/>
              </w:rPr>
              <w:t>Sustav praćenja upravljačkog tijela</w:t>
            </w:r>
          </w:p>
        </w:tc>
        <w:tc>
          <w:tcPr>
            <w:tcW w:w="536" w:type="pct"/>
          </w:tcPr>
          <w:p w14:paraId="2C4CEDC3" w14:textId="77777777" w:rsidR="00CB4EBF" w:rsidRPr="001C431F" w:rsidRDefault="00CB4EBF" w:rsidP="0054762C">
            <w:pPr>
              <w:spacing w:after="0" w:line="240" w:lineRule="auto"/>
              <w:rPr>
                <w:rFonts w:cs="Times New Roman"/>
                <w:iCs/>
                <w:sz w:val="20"/>
                <w:szCs w:val="20"/>
              </w:rPr>
            </w:pPr>
          </w:p>
        </w:tc>
      </w:tr>
    </w:tbl>
    <w:p w14:paraId="1A449462"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p>
    <w:p w14:paraId="53FD317E"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r>
        <w:rPr>
          <w:rFonts w:eastAsia="Times New Roman" w:cs="Times New Roman"/>
          <w:noProof/>
          <w:sz w:val="20"/>
          <w:szCs w:val="20"/>
          <w:lang w:val="hr"/>
        </w:rPr>
        <w:t>Glavne ciljne skupine</w:t>
      </w:r>
    </w:p>
    <w:p w14:paraId="336089F6"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i/>
          <w:iCs/>
          <w:noProof/>
          <w:color w:val="000000"/>
          <w:sz w:val="20"/>
          <w:szCs w:val="20"/>
          <w:lang w:val="hr"/>
        </w:rPr>
        <w:t>Upućivanje: članak 17. stavak 3. točka (e) podtočka iii., članak 17. stavak 9. točka (c) podtočka iv.</w:t>
      </w:r>
    </w:p>
    <w:p w14:paraId="19997E62" w14:textId="77777777" w:rsidR="00CB4EBF" w:rsidRPr="001C431F" w:rsidRDefault="00CB4EBF" w:rsidP="00CB4EBF">
      <w:pPr>
        <w:keepNext/>
        <w:spacing w:after="0"/>
        <w:jc w:val="both"/>
        <w:rPr>
          <w:rFonts w:eastAsia="Times New Roman" w:cs="Times New Roman"/>
          <w:sz w:val="20"/>
          <w:szCs w:val="20"/>
        </w:rPr>
      </w:pPr>
    </w:p>
    <w:p w14:paraId="30922B2D" w14:textId="77777777" w:rsidR="00CB4EBF" w:rsidRDefault="00CB4EBF" w:rsidP="00CB4EBF">
      <w:pPr>
        <w:keepNext/>
        <w:spacing w:after="0"/>
        <w:jc w:val="both"/>
        <w:rPr>
          <w:rFonts w:eastAsia="Times New Roman" w:cs="Times New Roman"/>
          <w:sz w:val="20"/>
          <w:szCs w:val="20"/>
        </w:rPr>
      </w:pPr>
      <w:r>
        <w:rPr>
          <w:rFonts w:eastAsia="Times New Roman" w:cs="Times New Roman"/>
          <w:sz w:val="20"/>
          <w:szCs w:val="20"/>
          <w:lang w:val="hr"/>
        </w:rPr>
        <w:t>Izravne ciljne skupine (okvirni popis potencijalnih korisnika) za sheme potpore s otvorenim pozivom jesu:</w:t>
      </w:r>
    </w:p>
    <w:p w14:paraId="728F3250" w14:textId="77777777" w:rsidR="00CB4EBF" w:rsidRPr="00005559" w:rsidRDefault="00CB4EBF" w:rsidP="00CB4EBF">
      <w:pPr>
        <w:pStyle w:val="ListParagraph"/>
        <w:widowControl w:val="0"/>
        <w:numPr>
          <w:ilvl w:val="0"/>
          <w:numId w:val="17"/>
        </w:numPr>
        <w:spacing w:after="0" w:line="240" w:lineRule="auto"/>
        <w:jc w:val="both"/>
        <w:rPr>
          <w:rFonts w:eastAsia="Times New Roman" w:cs="Times New Roman"/>
          <w:sz w:val="20"/>
          <w:szCs w:val="20"/>
        </w:rPr>
      </w:pPr>
      <w:r>
        <w:rPr>
          <w:rFonts w:eastAsia="Times New Roman" w:cs="Times New Roman"/>
          <w:sz w:val="20"/>
          <w:szCs w:val="20"/>
          <w:lang w:val="hr"/>
        </w:rPr>
        <w:t>lokalna, regionalna i nacionalna tijela javne vlasti i tijela kojima se upravlja na temelju javnog prava,</w:t>
      </w:r>
    </w:p>
    <w:p w14:paraId="7A8A2683" w14:textId="77777777" w:rsidR="00CB4EBF" w:rsidRDefault="00CB4EBF" w:rsidP="00CB4EBF">
      <w:pPr>
        <w:keepNext/>
        <w:spacing w:after="0"/>
        <w:jc w:val="both"/>
        <w:rPr>
          <w:rFonts w:eastAsia="Times New Roman" w:cs="Times New Roman"/>
          <w:sz w:val="20"/>
          <w:szCs w:val="20"/>
        </w:rPr>
      </w:pPr>
    </w:p>
    <w:p w14:paraId="20F46EBF" w14:textId="77777777" w:rsidR="00CB4EBF" w:rsidRDefault="00CB4EBF" w:rsidP="00CB4EBF">
      <w:pPr>
        <w:pStyle w:val="ListParagraph"/>
        <w:widowControl w:val="0"/>
        <w:numPr>
          <w:ilvl w:val="0"/>
          <w:numId w:val="17"/>
        </w:numPr>
        <w:spacing w:after="0" w:line="240" w:lineRule="auto"/>
        <w:jc w:val="both"/>
        <w:rPr>
          <w:rFonts w:eastAsia="Times New Roman" w:cs="Times New Roman"/>
          <w:sz w:val="20"/>
          <w:szCs w:val="20"/>
        </w:rPr>
      </w:pPr>
      <w:r>
        <w:rPr>
          <w:rFonts w:eastAsia="Times New Roman" w:cs="Times New Roman"/>
          <w:sz w:val="20"/>
          <w:szCs w:val="20"/>
          <w:lang w:val="hr"/>
        </w:rPr>
        <w:t xml:space="preserve">regionalne i lokalne razvojne agencije, </w:t>
      </w:r>
    </w:p>
    <w:p w14:paraId="5C49524D" w14:textId="77777777" w:rsidR="00CB4EBF" w:rsidRDefault="00CB4EBF" w:rsidP="00CB4EBF">
      <w:pPr>
        <w:pStyle w:val="ListParagraph"/>
        <w:widowControl w:val="0"/>
        <w:numPr>
          <w:ilvl w:val="0"/>
          <w:numId w:val="17"/>
        </w:numPr>
        <w:spacing w:after="0" w:line="240" w:lineRule="auto"/>
        <w:jc w:val="both"/>
        <w:rPr>
          <w:rFonts w:eastAsia="Times New Roman" w:cs="Times New Roman"/>
          <w:sz w:val="20"/>
          <w:szCs w:val="20"/>
        </w:rPr>
      </w:pPr>
      <w:r>
        <w:rPr>
          <w:rFonts w:eastAsia="Times New Roman" w:cs="Times New Roman"/>
          <w:sz w:val="20"/>
          <w:szCs w:val="20"/>
          <w:lang w:val="hr"/>
        </w:rPr>
        <w:t>turističke zajednice,</w:t>
      </w:r>
    </w:p>
    <w:p w14:paraId="03E747AA" w14:textId="77777777" w:rsidR="00CB4EBF" w:rsidRDefault="00CB4EBF" w:rsidP="00CB4EBF">
      <w:pPr>
        <w:pStyle w:val="ListParagraph"/>
        <w:widowControl w:val="0"/>
        <w:numPr>
          <w:ilvl w:val="0"/>
          <w:numId w:val="17"/>
        </w:numPr>
        <w:spacing w:after="0" w:line="240" w:lineRule="auto"/>
        <w:jc w:val="both"/>
        <w:rPr>
          <w:rFonts w:eastAsia="Times New Roman" w:cs="Times New Roman"/>
          <w:sz w:val="20"/>
          <w:szCs w:val="20"/>
        </w:rPr>
      </w:pPr>
      <w:r>
        <w:rPr>
          <w:rFonts w:eastAsia="Times New Roman" w:cs="Times New Roman"/>
          <w:sz w:val="20"/>
          <w:szCs w:val="20"/>
          <w:lang w:val="hr"/>
        </w:rPr>
        <w:t xml:space="preserve">turističke organizacije i ustanove, </w:t>
      </w:r>
    </w:p>
    <w:p w14:paraId="5AB5099E" w14:textId="77777777" w:rsidR="00CB4EBF" w:rsidRDefault="00CB4EBF" w:rsidP="00CB4EBF">
      <w:pPr>
        <w:pStyle w:val="ListParagraph"/>
        <w:widowControl w:val="0"/>
        <w:numPr>
          <w:ilvl w:val="0"/>
          <w:numId w:val="17"/>
        </w:numPr>
        <w:spacing w:after="0" w:line="240" w:lineRule="auto"/>
        <w:jc w:val="both"/>
        <w:rPr>
          <w:rFonts w:eastAsia="Times New Roman" w:cs="Times New Roman"/>
          <w:sz w:val="20"/>
          <w:szCs w:val="20"/>
        </w:rPr>
      </w:pPr>
      <w:r>
        <w:rPr>
          <w:rFonts w:eastAsia="Times New Roman" w:cs="Times New Roman"/>
          <w:sz w:val="20"/>
          <w:szCs w:val="20"/>
          <w:lang w:val="hr"/>
        </w:rPr>
        <w:lastRenderedPageBreak/>
        <w:t>kulturne organizacije i ustanove,</w:t>
      </w:r>
    </w:p>
    <w:p w14:paraId="6E3EC976" w14:textId="77777777" w:rsidR="00CB4EBF" w:rsidRPr="00005559" w:rsidRDefault="00CB4EBF" w:rsidP="00CB4EBF">
      <w:pPr>
        <w:pStyle w:val="ListParagraph"/>
        <w:widowControl w:val="0"/>
        <w:numPr>
          <w:ilvl w:val="0"/>
          <w:numId w:val="17"/>
        </w:numPr>
        <w:spacing w:after="0" w:line="240" w:lineRule="auto"/>
        <w:jc w:val="both"/>
        <w:rPr>
          <w:rFonts w:eastAsia="Times New Roman" w:cs="Times New Roman"/>
          <w:sz w:val="20"/>
          <w:szCs w:val="20"/>
        </w:rPr>
      </w:pPr>
      <w:r>
        <w:rPr>
          <w:rFonts w:eastAsia="Times New Roman" w:cs="Times New Roman"/>
          <w:sz w:val="20"/>
          <w:szCs w:val="20"/>
          <w:lang w:val="hr"/>
        </w:rPr>
        <w:t>ustanove za upravljanje državnom imovinom,</w:t>
      </w:r>
    </w:p>
    <w:p w14:paraId="79C3B69D" w14:textId="77777777" w:rsidR="00CB4EBF" w:rsidRDefault="00CB4EBF" w:rsidP="00CB4EBF">
      <w:pPr>
        <w:pStyle w:val="ListParagraph"/>
        <w:widowControl w:val="0"/>
        <w:numPr>
          <w:ilvl w:val="0"/>
          <w:numId w:val="17"/>
        </w:numPr>
        <w:spacing w:after="0" w:line="240" w:lineRule="auto"/>
        <w:jc w:val="both"/>
        <w:rPr>
          <w:rFonts w:eastAsia="Times New Roman" w:cs="Times New Roman"/>
          <w:sz w:val="20"/>
          <w:szCs w:val="20"/>
        </w:rPr>
      </w:pPr>
      <w:r>
        <w:rPr>
          <w:rFonts w:eastAsia="Times New Roman" w:cs="Times New Roman"/>
          <w:sz w:val="20"/>
          <w:szCs w:val="20"/>
          <w:lang w:val="hr"/>
        </w:rPr>
        <w:t>obrazovne i istraživačke organizacije,</w:t>
      </w:r>
    </w:p>
    <w:p w14:paraId="6441A3E3" w14:textId="77777777" w:rsidR="00CB4EBF" w:rsidRDefault="00CB4EBF" w:rsidP="00CB4EBF">
      <w:pPr>
        <w:pStyle w:val="ListParagraph"/>
        <w:widowControl w:val="0"/>
        <w:numPr>
          <w:ilvl w:val="0"/>
          <w:numId w:val="17"/>
        </w:numPr>
        <w:spacing w:after="0" w:line="240" w:lineRule="auto"/>
        <w:jc w:val="both"/>
        <w:rPr>
          <w:rFonts w:eastAsia="Times New Roman" w:cs="Times New Roman"/>
          <w:sz w:val="20"/>
          <w:szCs w:val="20"/>
        </w:rPr>
      </w:pPr>
      <w:r>
        <w:rPr>
          <w:rFonts w:eastAsia="Times New Roman" w:cs="Times New Roman"/>
          <w:sz w:val="20"/>
          <w:szCs w:val="20"/>
          <w:lang w:val="hr"/>
        </w:rPr>
        <w:t>gospodarske komore,</w:t>
      </w:r>
    </w:p>
    <w:p w14:paraId="4539293C" w14:textId="77777777" w:rsidR="00CB4EBF" w:rsidRDefault="00CB4EBF" w:rsidP="00CB4EBF">
      <w:pPr>
        <w:pStyle w:val="ListParagraph"/>
        <w:widowControl w:val="0"/>
        <w:numPr>
          <w:ilvl w:val="0"/>
          <w:numId w:val="17"/>
        </w:numPr>
        <w:spacing w:after="0" w:line="240" w:lineRule="auto"/>
        <w:jc w:val="both"/>
        <w:rPr>
          <w:rFonts w:eastAsia="Times New Roman" w:cs="Times New Roman"/>
          <w:sz w:val="20"/>
          <w:szCs w:val="20"/>
        </w:rPr>
      </w:pPr>
      <w:r>
        <w:rPr>
          <w:rFonts w:eastAsia="Times New Roman" w:cs="Times New Roman"/>
          <w:sz w:val="20"/>
          <w:szCs w:val="20"/>
          <w:lang w:val="hr"/>
        </w:rPr>
        <w:t>poduzeća za gospodarenje šumama,</w:t>
      </w:r>
    </w:p>
    <w:p w14:paraId="3CEFC09C" w14:textId="77777777" w:rsidR="00CB4EBF" w:rsidRDefault="00CB4EBF" w:rsidP="00CB4EBF">
      <w:pPr>
        <w:pStyle w:val="ListParagraph"/>
        <w:widowControl w:val="0"/>
        <w:numPr>
          <w:ilvl w:val="0"/>
          <w:numId w:val="17"/>
        </w:numPr>
        <w:spacing w:after="0" w:line="240" w:lineRule="auto"/>
        <w:jc w:val="both"/>
        <w:rPr>
          <w:rFonts w:eastAsia="Times New Roman" w:cs="Times New Roman"/>
          <w:sz w:val="20"/>
          <w:szCs w:val="20"/>
        </w:rPr>
      </w:pPr>
      <w:r>
        <w:rPr>
          <w:rFonts w:eastAsia="Times New Roman" w:cs="Times New Roman"/>
          <w:sz w:val="20"/>
          <w:szCs w:val="20"/>
          <w:lang w:val="hr"/>
        </w:rPr>
        <w:t>javne ustanove za upravljanje zaštićenim područjima, uključujući nacionalne parkove, parkove prirode i županijske javne ustanove za upravljanje zaštićenim područjima</w:t>
      </w:r>
    </w:p>
    <w:p w14:paraId="54BCE408" w14:textId="77777777" w:rsidR="00CB4EBF" w:rsidRDefault="00CB4EBF" w:rsidP="00CB4EBF">
      <w:pPr>
        <w:pStyle w:val="ListParagraph"/>
        <w:widowControl w:val="0"/>
        <w:numPr>
          <w:ilvl w:val="0"/>
          <w:numId w:val="17"/>
        </w:numPr>
        <w:spacing w:after="0" w:line="240" w:lineRule="auto"/>
        <w:jc w:val="both"/>
        <w:rPr>
          <w:rFonts w:eastAsia="Times New Roman" w:cs="Times New Roman"/>
          <w:sz w:val="20"/>
          <w:szCs w:val="20"/>
        </w:rPr>
      </w:pPr>
      <w:r>
        <w:rPr>
          <w:rFonts w:eastAsia="Times New Roman" w:cs="Times New Roman"/>
          <w:sz w:val="20"/>
          <w:szCs w:val="20"/>
          <w:lang w:val="hr"/>
        </w:rPr>
        <w:t>crkvene organizacije,</w:t>
      </w:r>
    </w:p>
    <w:p w14:paraId="6D84EC0F" w14:textId="77777777" w:rsidR="00CB4EBF" w:rsidRDefault="00CB4EBF" w:rsidP="00CB4EBF">
      <w:pPr>
        <w:pStyle w:val="ListParagraph"/>
        <w:widowControl w:val="0"/>
        <w:numPr>
          <w:ilvl w:val="0"/>
          <w:numId w:val="17"/>
        </w:numPr>
        <w:spacing w:after="0" w:line="240" w:lineRule="auto"/>
        <w:jc w:val="both"/>
        <w:rPr>
          <w:rFonts w:eastAsia="Times New Roman" w:cs="Times New Roman"/>
          <w:sz w:val="20"/>
          <w:szCs w:val="20"/>
        </w:rPr>
      </w:pPr>
      <w:r>
        <w:rPr>
          <w:rFonts w:eastAsia="Times New Roman" w:cs="Times New Roman"/>
          <w:sz w:val="20"/>
          <w:szCs w:val="20"/>
          <w:lang w:val="hr"/>
        </w:rPr>
        <w:t>privatne neprofitne organizacije, kao i privatne profitne organizacije registrirane kao pružatelji turističkih usluga</w:t>
      </w:r>
    </w:p>
    <w:p w14:paraId="1F60DD88" w14:textId="77777777" w:rsidR="00CB4EBF" w:rsidRPr="00130057" w:rsidRDefault="00CB4EBF" w:rsidP="00CB4EBF">
      <w:pPr>
        <w:pStyle w:val="ListParagraph"/>
        <w:widowControl w:val="0"/>
        <w:spacing w:after="0" w:line="240" w:lineRule="auto"/>
        <w:ind w:left="360"/>
        <w:jc w:val="both"/>
        <w:rPr>
          <w:rFonts w:eastAsia="Times New Roman" w:cs="Times New Roman"/>
          <w:sz w:val="20"/>
          <w:szCs w:val="20"/>
        </w:rPr>
      </w:pPr>
    </w:p>
    <w:p w14:paraId="621F7B67" w14:textId="77777777" w:rsidR="00CB4EBF" w:rsidRPr="001C431F" w:rsidRDefault="00CB4EBF" w:rsidP="00CB4EBF">
      <w:pPr>
        <w:keepNext/>
        <w:spacing w:after="0"/>
        <w:jc w:val="both"/>
        <w:rPr>
          <w:rFonts w:eastAsia="Times New Roman" w:cs="Times New Roman"/>
          <w:sz w:val="20"/>
          <w:szCs w:val="20"/>
        </w:rPr>
      </w:pPr>
    </w:p>
    <w:p w14:paraId="6CCE05D1" w14:textId="77777777" w:rsidR="00CB4EBF" w:rsidRPr="001C431F" w:rsidRDefault="00CB4EBF" w:rsidP="00CB4EBF">
      <w:pPr>
        <w:spacing w:after="0"/>
        <w:jc w:val="both"/>
        <w:rPr>
          <w:rFonts w:eastAsia="Times New Roman" w:cs="Times New Roman"/>
          <w:sz w:val="20"/>
          <w:szCs w:val="20"/>
        </w:rPr>
      </w:pPr>
      <w:r>
        <w:rPr>
          <w:rFonts w:eastAsia="Times New Roman" w:cs="Times New Roman"/>
          <w:sz w:val="20"/>
          <w:szCs w:val="20"/>
          <w:lang w:val="hr"/>
        </w:rPr>
        <w:t>Neizravne su ciljne skupine posjetitelji i lokalno stanovništvo.</w:t>
      </w:r>
    </w:p>
    <w:p w14:paraId="36C2163E"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p>
    <w:p w14:paraId="4EDC10FB"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r>
        <w:rPr>
          <w:rFonts w:eastAsia="Times New Roman" w:cs="Times New Roman"/>
          <w:b/>
          <w:bCs/>
          <w:noProof/>
          <w:sz w:val="20"/>
          <w:szCs w:val="20"/>
          <w:lang w:val="hr"/>
        </w:rPr>
        <w:t>Posebna ciljna područja, uključujući planiranu upotrebu ITI-ja, CLLD-a ili drugih teritorijalnih alata</w:t>
      </w:r>
    </w:p>
    <w:p w14:paraId="6B843975"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i/>
          <w:iCs/>
          <w:noProof/>
          <w:color w:val="000000"/>
          <w:sz w:val="20"/>
          <w:szCs w:val="20"/>
          <w:lang w:val="hr"/>
        </w:rPr>
        <w:t>Upućivanje: članak 17. stavak 3. točka (e) podtočka iv.</w:t>
      </w:r>
    </w:p>
    <w:p w14:paraId="4A9D3A42" w14:textId="77777777" w:rsidR="00CB4EBF" w:rsidRPr="001C431F" w:rsidRDefault="00CB4EBF" w:rsidP="00CB4EBF">
      <w:pPr>
        <w:keepNext/>
        <w:spacing w:after="0"/>
        <w:jc w:val="both"/>
        <w:rPr>
          <w:rFonts w:eastAsia="Times New Roman" w:cs="Times New Roman"/>
          <w:sz w:val="20"/>
          <w:szCs w:val="20"/>
        </w:rPr>
      </w:pPr>
    </w:p>
    <w:p w14:paraId="0CD0E074" w14:textId="77777777" w:rsidR="00CB4EBF" w:rsidRPr="001C431F" w:rsidRDefault="00CB4EBF" w:rsidP="00CB4EBF">
      <w:pPr>
        <w:keepNext/>
        <w:spacing w:after="0"/>
        <w:jc w:val="both"/>
        <w:rPr>
          <w:rFonts w:eastAsia="Times New Roman" w:cs="Times New Roman"/>
          <w:sz w:val="20"/>
          <w:szCs w:val="20"/>
        </w:rPr>
      </w:pPr>
      <w:r>
        <w:rPr>
          <w:rFonts w:eastAsia="Times New Roman" w:cs="Times New Roman"/>
          <w:sz w:val="20"/>
          <w:szCs w:val="20"/>
          <w:lang w:val="hr"/>
        </w:rPr>
        <w:t>Područje od 40 km sa svake strane tri glavne rijeke (Mura, Drava, Dunav) pograničnog područja. Pojedinosti će se regulirati u budućim pozivima na podnošenje prijedloga.</w:t>
      </w:r>
    </w:p>
    <w:p w14:paraId="443F79E3"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p>
    <w:p w14:paraId="5233D8B3"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r>
        <w:rPr>
          <w:rFonts w:eastAsia="Times New Roman" w:cs="Times New Roman"/>
          <w:b/>
          <w:bCs/>
          <w:noProof/>
          <w:sz w:val="20"/>
          <w:szCs w:val="20"/>
          <w:lang w:val="hr"/>
        </w:rPr>
        <w:t>Planirana upotreba financijskih instrumenata</w:t>
      </w:r>
    </w:p>
    <w:p w14:paraId="2A0D1FB3"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i/>
          <w:iCs/>
          <w:noProof/>
          <w:color w:val="000000"/>
          <w:sz w:val="20"/>
          <w:szCs w:val="20"/>
          <w:lang w:val="hr"/>
        </w:rPr>
        <w:t>Upućivanje: članak 17. stavak 3. točka (e) podtočka v.</w:t>
      </w:r>
    </w:p>
    <w:p w14:paraId="5485D33E" w14:textId="77777777" w:rsidR="00CB4EBF" w:rsidRPr="001C431F" w:rsidRDefault="00CB4EBF" w:rsidP="00CB4EBF">
      <w:pPr>
        <w:keepNext/>
        <w:spacing w:after="0"/>
        <w:jc w:val="both"/>
        <w:rPr>
          <w:rFonts w:eastAsia="Times New Roman" w:cs="Times New Roman"/>
          <w:sz w:val="20"/>
          <w:szCs w:val="20"/>
        </w:rPr>
      </w:pPr>
      <w:r>
        <w:rPr>
          <w:rFonts w:eastAsia="Times New Roman" w:cs="Times New Roman"/>
          <w:sz w:val="20"/>
          <w:szCs w:val="20"/>
          <w:lang w:val="hr"/>
        </w:rPr>
        <w:t>Neće se upotrebljavati financijski instrumenti.</w:t>
      </w:r>
    </w:p>
    <w:p w14:paraId="2D05DAB9"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p>
    <w:p w14:paraId="54A4C5F2"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r>
        <w:rPr>
          <w:rFonts w:eastAsia="Times New Roman" w:cs="Times New Roman"/>
          <w:b/>
          <w:bCs/>
          <w:noProof/>
          <w:sz w:val="20"/>
          <w:szCs w:val="20"/>
          <w:lang w:val="hr"/>
        </w:rPr>
        <w:t>Okvirna raščlamba sredstava programa EU-a prema vrsti intervencije</w:t>
      </w:r>
    </w:p>
    <w:p w14:paraId="504AAD7B" w14:textId="77777777" w:rsidR="00CB4EBF" w:rsidRPr="001C431F" w:rsidRDefault="00CB4EBF" w:rsidP="00CB4EBF">
      <w:pPr>
        <w:spacing w:after="0" w:line="240" w:lineRule="auto"/>
        <w:jc w:val="both"/>
        <w:rPr>
          <w:rFonts w:cs="Times New Roman"/>
          <w:i/>
          <w:color w:val="000000"/>
          <w:sz w:val="20"/>
          <w:szCs w:val="20"/>
        </w:rPr>
      </w:pPr>
      <w:r>
        <w:rPr>
          <w:rFonts w:cs="Times New Roman"/>
          <w:i/>
          <w:iCs/>
          <w:color w:val="000000"/>
          <w:sz w:val="20"/>
          <w:szCs w:val="20"/>
          <w:lang w:val="hr"/>
        </w:rPr>
        <w:t xml:space="preserve">Upućivanje: </w:t>
      </w:r>
      <w:r>
        <w:rPr>
          <w:rFonts w:cs="Times New Roman"/>
          <w:i/>
          <w:iCs/>
          <w:noProof/>
          <w:color w:val="000000"/>
          <w:sz w:val="20"/>
          <w:szCs w:val="20"/>
          <w:lang w:val="hr"/>
        </w:rPr>
        <w:t>članak 17. stavak 3. točka (e) podtočka vi., članak 17. stavak 9. točka (c) podtočka v.</w:t>
      </w:r>
    </w:p>
    <w:p w14:paraId="5BEE15FB" w14:textId="77777777" w:rsidR="00CB4EBF" w:rsidRPr="0090125E" w:rsidRDefault="00CB4EBF" w:rsidP="00CB4EBF">
      <w:pPr>
        <w:spacing w:after="0" w:line="240" w:lineRule="auto"/>
        <w:jc w:val="both"/>
        <w:rPr>
          <w:rFonts w:eastAsia="Times New Roman" w:cs="Times New Roman"/>
          <w:iCs/>
          <w:noProof/>
          <w:sz w:val="20"/>
          <w:szCs w:val="20"/>
        </w:rPr>
      </w:pPr>
    </w:p>
    <w:p w14:paraId="57CE3744"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noProof/>
          <w:sz w:val="20"/>
          <w:szCs w:val="20"/>
          <w:lang w:val="hr"/>
        </w:rPr>
        <w:t>Tablica 4.: Dimenzija 1. – područje intervencije</w:t>
      </w:r>
    </w:p>
    <w:tbl>
      <w:tblPr>
        <w:tblStyle w:val="TableGrid"/>
        <w:tblW w:w="0" w:type="auto"/>
        <w:tblLook w:val="04A0" w:firstRow="1" w:lastRow="0" w:firstColumn="1" w:lastColumn="0" w:noHBand="0" w:noVBand="1"/>
      </w:tblPr>
      <w:tblGrid>
        <w:gridCol w:w="1782"/>
        <w:gridCol w:w="1606"/>
        <w:gridCol w:w="1816"/>
        <w:gridCol w:w="1305"/>
        <w:gridCol w:w="2508"/>
        <w:gridCol w:w="43"/>
      </w:tblGrid>
      <w:tr w:rsidR="00CB4EBF" w:rsidRPr="00A23750" w14:paraId="7263413D" w14:textId="77777777" w:rsidTr="0054762C">
        <w:tc>
          <w:tcPr>
            <w:tcW w:w="1804" w:type="dxa"/>
          </w:tcPr>
          <w:p w14:paraId="1D2B19ED"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Prioritet br.</w:t>
            </w:r>
          </w:p>
        </w:tc>
        <w:tc>
          <w:tcPr>
            <w:tcW w:w="1630" w:type="dxa"/>
          </w:tcPr>
          <w:p w14:paraId="198E53FE"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Fond</w:t>
            </w:r>
          </w:p>
        </w:tc>
        <w:tc>
          <w:tcPr>
            <w:tcW w:w="1837" w:type="dxa"/>
          </w:tcPr>
          <w:p w14:paraId="04390846"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Specifični cilj</w:t>
            </w:r>
          </w:p>
        </w:tc>
        <w:tc>
          <w:tcPr>
            <w:tcW w:w="1250" w:type="dxa"/>
          </w:tcPr>
          <w:p w14:paraId="1AFF2678"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 xml:space="preserve">Oznaka </w:t>
            </w:r>
          </w:p>
        </w:tc>
        <w:tc>
          <w:tcPr>
            <w:tcW w:w="2539" w:type="dxa"/>
            <w:gridSpan w:val="2"/>
          </w:tcPr>
          <w:p w14:paraId="4973968B"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Iznos (EUR)</w:t>
            </w:r>
          </w:p>
        </w:tc>
      </w:tr>
      <w:tr w:rsidR="00CB4EBF" w:rsidRPr="00A23750" w14:paraId="26747F1C" w14:textId="77777777" w:rsidTr="0054762C">
        <w:trPr>
          <w:gridAfter w:val="1"/>
          <w:wAfter w:w="44" w:type="dxa"/>
        </w:trPr>
        <w:tc>
          <w:tcPr>
            <w:tcW w:w="1804" w:type="dxa"/>
          </w:tcPr>
          <w:p w14:paraId="64CAACD5"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3</w:t>
            </w:r>
          </w:p>
        </w:tc>
        <w:tc>
          <w:tcPr>
            <w:tcW w:w="1630" w:type="dxa"/>
          </w:tcPr>
          <w:p w14:paraId="4E5541F7"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EFRR</w:t>
            </w:r>
          </w:p>
        </w:tc>
        <w:tc>
          <w:tcPr>
            <w:tcW w:w="1837" w:type="dxa"/>
          </w:tcPr>
          <w:p w14:paraId="37D091B9"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SO 4.6</w:t>
            </w:r>
          </w:p>
        </w:tc>
        <w:tc>
          <w:tcPr>
            <w:tcW w:w="1250" w:type="dxa"/>
          </w:tcPr>
          <w:p w14:paraId="57733CC0" w14:textId="77777777" w:rsidR="00CB4EBF" w:rsidRPr="001C431F" w:rsidRDefault="00CB4EBF" w:rsidP="0054762C">
            <w:pPr>
              <w:rPr>
                <w:rFonts w:eastAsia="Times New Roman" w:cs="Times New Roman"/>
                <w:iCs/>
                <w:noProof/>
                <w:sz w:val="20"/>
                <w:szCs w:val="20"/>
              </w:rPr>
            </w:pPr>
            <w:r>
              <w:rPr>
                <w:rFonts w:eastAsia="Times New Roman" w:cs="Times New Roman"/>
                <w:noProof/>
                <w:sz w:val="20"/>
                <w:szCs w:val="20"/>
                <w:lang w:val="hr"/>
              </w:rPr>
              <w:t>165 Zaštita, razvoj i promicanje javnih turističkih dobara i turističkih usluga</w:t>
            </w:r>
          </w:p>
        </w:tc>
        <w:tc>
          <w:tcPr>
            <w:tcW w:w="2539" w:type="dxa"/>
          </w:tcPr>
          <w:p w14:paraId="7AEE63B8"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10 472 400,00</w:t>
            </w:r>
          </w:p>
        </w:tc>
      </w:tr>
      <w:tr w:rsidR="00CB4EBF" w:rsidRPr="00A23750" w14:paraId="7C2AEFC5" w14:textId="77777777" w:rsidTr="0054762C">
        <w:trPr>
          <w:gridAfter w:val="1"/>
          <w:wAfter w:w="44" w:type="dxa"/>
        </w:trPr>
        <w:tc>
          <w:tcPr>
            <w:tcW w:w="1804" w:type="dxa"/>
          </w:tcPr>
          <w:p w14:paraId="5E3D12FC"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3</w:t>
            </w:r>
          </w:p>
        </w:tc>
        <w:tc>
          <w:tcPr>
            <w:tcW w:w="1630" w:type="dxa"/>
          </w:tcPr>
          <w:p w14:paraId="680E4821"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EFRR</w:t>
            </w:r>
          </w:p>
        </w:tc>
        <w:tc>
          <w:tcPr>
            <w:tcW w:w="1837" w:type="dxa"/>
          </w:tcPr>
          <w:p w14:paraId="06F1FA20"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SO 4.6</w:t>
            </w:r>
          </w:p>
        </w:tc>
        <w:tc>
          <w:tcPr>
            <w:tcW w:w="1250" w:type="dxa"/>
          </w:tcPr>
          <w:p w14:paraId="0C1552D4" w14:textId="77777777" w:rsidR="00CB4EBF" w:rsidRPr="00476CCA" w:rsidRDefault="00CB4EBF" w:rsidP="0054762C">
            <w:pPr>
              <w:jc w:val="both"/>
              <w:rPr>
                <w:rFonts w:eastAsia="Times New Roman" w:cs="Times New Roman"/>
                <w:iCs/>
                <w:noProof/>
                <w:sz w:val="20"/>
                <w:szCs w:val="20"/>
              </w:rPr>
            </w:pPr>
            <w:r>
              <w:rPr>
                <w:rFonts w:eastAsia="Times New Roman" w:cs="Times New Roman"/>
                <w:noProof/>
                <w:sz w:val="20"/>
                <w:szCs w:val="20"/>
                <w:lang w:val="hr"/>
              </w:rPr>
              <w:t>167 Zaštita, razvoj i promicanje prirodne baštine i ekoturizma osim područja mreže Natura 2000</w:t>
            </w:r>
          </w:p>
        </w:tc>
        <w:tc>
          <w:tcPr>
            <w:tcW w:w="2539" w:type="dxa"/>
          </w:tcPr>
          <w:p w14:paraId="29174125"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10 472 400,00</w:t>
            </w:r>
          </w:p>
        </w:tc>
      </w:tr>
      <w:tr w:rsidR="00CB4EBF" w:rsidRPr="00A23750" w14:paraId="12E7125E" w14:textId="77777777" w:rsidTr="0054762C">
        <w:tc>
          <w:tcPr>
            <w:tcW w:w="1804" w:type="dxa"/>
          </w:tcPr>
          <w:p w14:paraId="163D55C6"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3</w:t>
            </w:r>
          </w:p>
        </w:tc>
        <w:tc>
          <w:tcPr>
            <w:tcW w:w="1630" w:type="dxa"/>
          </w:tcPr>
          <w:p w14:paraId="4A10547C"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EFRR</w:t>
            </w:r>
          </w:p>
        </w:tc>
        <w:tc>
          <w:tcPr>
            <w:tcW w:w="1837" w:type="dxa"/>
          </w:tcPr>
          <w:p w14:paraId="6F8604CB" w14:textId="77777777" w:rsidR="00CB4EBF" w:rsidRDefault="00CB4EBF" w:rsidP="0054762C">
            <w:pPr>
              <w:jc w:val="both"/>
              <w:rPr>
                <w:rFonts w:eastAsia="Times New Roman" w:cs="Times New Roman"/>
                <w:iCs/>
                <w:noProof/>
                <w:sz w:val="20"/>
                <w:szCs w:val="20"/>
              </w:rPr>
            </w:pPr>
            <w:r>
              <w:rPr>
                <w:rFonts w:eastAsia="Times New Roman" w:cs="Times New Roman"/>
                <w:noProof/>
                <w:sz w:val="20"/>
                <w:szCs w:val="20"/>
                <w:lang w:val="hr"/>
              </w:rPr>
              <w:t>SO 4.6</w:t>
            </w:r>
          </w:p>
        </w:tc>
        <w:tc>
          <w:tcPr>
            <w:tcW w:w="1250" w:type="dxa"/>
          </w:tcPr>
          <w:p w14:paraId="0372C13B" w14:textId="77777777" w:rsidR="00CB4EBF" w:rsidRPr="00476CCA" w:rsidRDefault="00CB4EBF" w:rsidP="0054762C">
            <w:pPr>
              <w:jc w:val="both"/>
              <w:rPr>
                <w:rFonts w:eastAsia="Times New Roman" w:cs="Times New Roman"/>
                <w:iCs/>
                <w:noProof/>
                <w:sz w:val="20"/>
                <w:szCs w:val="20"/>
              </w:rPr>
            </w:pPr>
            <w:r>
              <w:rPr>
                <w:rFonts w:eastAsia="Times New Roman" w:cs="Times New Roman"/>
                <w:noProof/>
                <w:sz w:val="20"/>
                <w:szCs w:val="20"/>
                <w:lang w:val="hr"/>
              </w:rPr>
              <w:t>083 Biciklistička infrastruktura</w:t>
            </w:r>
          </w:p>
        </w:tc>
        <w:tc>
          <w:tcPr>
            <w:tcW w:w="2539" w:type="dxa"/>
            <w:gridSpan w:val="2"/>
          </w:tcPr>
          <w:p w14:paraId="646BB40C" w14:textId="77777777" w:rsidR="00CB4EBF" w:rsidRDefault="00CB4EBF" w:rsidP="0054762C">
            <w:pPr>
              <w:jc w:val="both"/>
              <w:rPr>
                <w:rFonts w:eastAsia="Times New Roman" w:cs="Times New Roman"/>
                <w:iCs/>
                <w:noProof/>
                <w:sz w:val="20"/>
                <w:szCs w:val="20"/>
              </w:rPr>
            </w:pPr>
            <w:r>
              <w:rPr>
                <w:rFonts w:eastAsia="Times New Roman" w:cs="Times New Roman"/>
                <w:noProof/>
                <w:sz w:val="20"/>
                <w:szCs w:val="20"/>
                <w:lang w:val="hr"/>
              </w:rPr>
              <w:t>5 236 200,00</w:t>
            </w:r>
          </w:p>
        </w:tc>
      </w:tr>
    </w:tbl>
    <w:p w14:paraId="45B86A1A" w14:textId="77777777" w:rsidR="00CB4EBF" w:rsidRPr="001C431F" w:rsidRDefault="00CB4EBF" w:rsidP="00CB4EBF">
      <w:pPr>
        <w:spacing w:after="0" w:line="240" w:lineRule="auto"/>
        <w:jc w:val="both"/>
        <w:rPr>
          <w:rFonts w:eastAsia="Times New Roman" w:cs="Times New Roman"/>
          <w:iCs/>
          <w:noProof/>
          <w:sz w:val="20"/>
          <w:szCs w:val="20"/>
        </w:rPr>
      </w:pPr>
    </w:p>
    <w:p w14:paraId="4ECB4C00"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noProof/>
          <w:sz w:val="20"/>
          <w:szCs w:val="20"/>
          <w:lang w:val="hr"/>
        </w:rPr>
        <w:t>Tablica 5.: Dimenzija 2. – oblik financiranja</w:t>
      </w:r>
    </w:p>
    <w:tbl>
      <w:tblPr>
        <w:tblStyle w:val="TableGrid"/>
        <w:tblW w:w="0" w:type="auto"/>
        <w:tblLook w:val="04A0" w:firstRow="1" w:lastRow="0" w:firstColumn="1" w:lastColumn="0" w:noHBand="0" w:noVBand="1"/>
      </w:tblPr>
      <w:tblGrid>
        <w:gridCol w:w="1815"/>
        <w:gridCol w:w="1601"/>
        <w:gridCol w:w="1847"/>
        <w:gridCol w:w="1216"/>
        <w:gridCol w:w="2581"/>
      </w:tblGrid>
      <w:tr w:rsidR="00CB4EBF" w:rsidRPr="00A23750" w14:paraId="4882785A" w14:textId="77777777" w:rsidTr="0054762C">
        <w:tc>
          <w:tcPr>
            <w:tcW w:w="1870" w:type="dxa"/>
          </w:tcPr>
          <w:p w14:paraId="682F6CB2"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Prioritet br.</w:t>
            </w:r>
          </w:p>
        </w:tc>
        <w:tc>
          <w:tcPr>
            <w:tcW w:w="1657" w:type="dxa"/>
          </w:tcPr>
          <w:p w14:paraId="7E69DA8D"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Fond</w:t>
            </w:r>
          </w:p>
        </w:tc>
        <w:tc>
          <w:tcPr>
            <w:tcW w:w="1898" w:type="dxa"/>
          </w:tcPr>
          <w:p w14:paraId="3DF25706"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Specifični cilj</w:t>
            </w:r>
          </w:p>
        </w:tc>
        <w:tc>
          <w:tcPr>
            <w:tcW w:w="1204" w:type="dxa"/>
          </w:tcPr>
          <w:p w14:paraId="15014824"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 xml:space="preserve">Oznaka </w:t>
            </w:r>
          </w:p>
        </w:tc>
        <w:tc>
          <w:tcPr>
            <w:tcW w:w="2659" w:type="dxa"/>
          </w:tcPr>
          <w:p w14:paraId="6D394113"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Iznos (EUR)</w:t>
            </w:r>
          </w:p>
        </w:tc>
      </w:tr>
      <w:tr w:rsidR="00CB4EBF" w:rsidRPr="00A23750" w14:paraId="5562487F" w14:textId="77777777" w:rsidTr="0054762C">
        <w:trPr>
          <w:trHeight w:val="85"/>
        </w:trPr>
        <w:tc>
          <w:tcPr>
            <w:tcW w:w="1870" w:type="dxa"/>
          </w:tcPr>
          <w:p w14:paraId="504FF7AD"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3</w:t>
            </w:r>
          </w:p>
        </w:tc>
        <w:tc>
          <w:tcPr>
            <w:tcW w:w="1657" w:type="dxa"/>
          </w:tcPr>
          <w:p w14:paraId="26DD7FAA"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EFRR</w:t>
            </w:r>
          </w:p>
        </w:tc>
        <w:tc>
          <w:tcPr>
            <w:tcW w:w="1898" w:type="dxa"/>
          </w:tcPr>
          <w:p w14:paraId="1A77721B"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SO 4.6</w:t>
            </w:r>
          </w:p>
        </w:tc>
        <w:tc>
          <w:tcPr>
            <w:tcW w:w="1204" w:type="dxa"/>
          </w:tcPr>
          <w:p w14:paraId="73612503"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01 Bespovratna sredstva</w:t>
            </w:r>
          </w:p>
        </w:tc>
        <w:tc>
          <w:tcPr>
            <w:tcW w:w="2659" w:type="dxa"/>
          </w:tcPr>
          <w:p w14:paraId="70D5CE8F"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26 181 000,00</w:t>
            </w:r>
          </w:p>
        </w:tc>
      </w:tr>
    </w:tbl>
    <w:p w14:paraId="3684166A" w14:textId="77777777" w:rsidR="00CB4EBF" w:rsidRPr="001C431F" w:rsidRDefault="00CB4EBF" w:rsidP="00CB4EBF">
      <w:pPr>
        <w:spacing w:after="0" w:line="240" w:lineRule="auto"/>
        <w:jc w:val="both"/>
        <w:rPr>
          <w:rFonts w:eastAsia="Times New Roman" w:cs="Times New Roman"/>
          <w:iCs/>
          <w:noProof/>
          <w:sz w:val="20"/>
          <w:szCs w:val="20"/>
        </w:rPr>
      </w:pPr>
    </w:p>
    <w:p w14:paraId="045CB807"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noProof/>
          <w:sz w:val="20"/>
          <w:szCs w:val="20"/>
          <w:lang w:val="hr"/>
        </w:rPr>
        <w:t>Tablica 6.: Dimenzija 3. – mehanizam teritorijalne provedbe i teritorijalni fokus</w:t>
      </w:r>
    </w:p>
    <w:tbl>
      <w:tblPr>
        <w:tblStyle w:val="TableGrid"/>
        <w:tblW w:w="0" w:type="auto"/>
        <w:tblLook w:val="04A0" w:firstRow="1" w:lastRow="0" w:firstColumn="1" w:lastColumn="0" w:noHBand="0" w:noVBand="1"/>
      </w:tblPr>
      <w:tblGrid>
        <w:gridCol w:w="1827"/>
        <w:gridCol w:w="1613"/>
        <w:gridCol w:w="1858"/>
        <w:gridCol w:w="1180"/>
        <w:gridCol w:w="2582"/>
      </w:tblGrid>
      <w:tr w:rsidR="00CB4EBF" w:rsidRPr="00A23750" w14:paraId="4B9BE68E" w14:textId="77777777" w:rsidTr="0054762C">
        <w:tc>
          <w:tcPr>
            <w:tcW w:w="1827" w:type="dxa"/>
          </w:tcPr>
          <w:p w14:paraId="740C9E03"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Prioritet br.</w:t>
            </w:r>
          </w:p>
        </w:tc>
        <w:tc>
          <w:tcPr>
            <w:tcW w:w="1613" w:type="dxa"/>
          </w:tcPr>
          <w:p w14:paraId="2316BF25"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Fond</w:t>
            </w:r>
          </w:p>
        </w:tc>
        <w:tc>
          <w:tcPr>
            <w:tcW w:w="1858" w:type="dxa"/>
          </w:tcPr>
          <w:p w14:paraId="3AAFB134"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Specifični cilj</w:t>
            </w:r>
          </w:p>
        </w:tc>
        <w:tc>
          <w:tcPr>
            <w:tcW w:w="1180" w:type="dxa"/>
          </w:tcPr>
          <w:p w14:paraId="012DEBAA"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 xml:space="preserve">Oznaka </w:t>
            </w:r>
          </w:p>
        </w:tc>
        <w:tc>
          <w:tcPr>
            <w:tcW w:w="2582" w:type="dxa"/>
          </w:tcPr>
          <w:p w14:paraId="59B68F14"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Iznos (EUR)</w:t>
            </w:r>
          </w:p>
        </w:tc>
      </w:tr>
      <w:tr w:rsidR="00CB4EBF" w:rsidRPr="00A23750" w14:paraId="2EA4B9F7" w14:textId="77777777" w:rsidTr="0054762C">
        <w:tc>
          <w:tcPr>
            <w:tcW w:w="1827" w:type="dxa"/>
          </w:tcPr>
          <w:p w14:paraId="36E8B74B"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lastRenderedPageBreak/>
              <w:t>2</w:t>
            </w:r>
          </w:p>
        </w:tc>
        <w:tc>
          <w:tcPr>
            <w:tcW w:w="1613" w:type="dxa"/>
          </w:tcPr>
          <w:p w14:paraId="18CC8CB1"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EFRR/NDICI</w:t>
            </w:r>
          </w:p>
        </w:tc>
        <w:tc>
          <w:tcPr>
            <w:tcW w:w="1858" w:type="dxa"/>
          </w:tcPr>
          <w:p w14:paraId="7A3E30F9"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SO 4.6</w:t>
            </w:r>
          </w:p>
        </w:tc>
        <w:tc>
          <w:tcPr>
            <w:tcW w:w="1180" w:type="dxa"/>
          </w:tcPr>
          <w:p w14:paraId="3EE9B605" w14:textId="77777777" w:rsidR="00CB4EBF" w:rsidRPr="001C431F" w:rsidRDefault="00CB4EBF" w:rsidP="0054762C">
            <w:pPr>
              <w:rPr>
                <w:rFonts w:eastAsia="Times New Roman" w:cs="Times New Roman"/>
                <w:iCs/>
                <w:noProof/>
                <w:sz w:val="20"/>
                <w:szCs w:val="20"/>
              </w:rPr>
            </w:pPr>
            <w:r>
              <w:rPr>
                <w:rFonts w:eastAsia="Times New Roman" w:cs="Times New Roman"/>
                <w:noProof/>
                <w:sz w:val="20"/>
                <w:szCs w:val="20"/>
                <w:lang w:val="hr"/>
              </w:rPr>
              <w:t>32 Druge vrste ciljnih područja</w:t>
            </w:r>
          </w:p>
        </w:tc>
        <w:tc>
          <w:tcPr>
            <w:tcW w:w="2582" w:type="dxa"/>
          </w:tcPr>
          <w:p w14:paraId="26F8B782" w14:textId="77777777" w:rsidR="00CB4EBF" w:rsidRPr="001C431F" w:rsidRDefault="00CB4EBF" w:rsidP="0054762C">
            <w:pPr>
              <w:jc w:val="both"/>
              <w:rPr>
                <w:rFonts w:cs="Times New Roman"/>
                <w:color w:val="000000"/>
                <w:sz w:val="20"/>
                <w:szCs w:val="20"/>
              </w:rPr>
            </w:pPr>
            <w:r>
              <w:rPr>
                <w:rFonts w:cs="Times New Roman"/>
                <w:color w:val="000000"/>
                <w:sz w:val="20"/>
                <w:szCs w:val="20"/>
                <w:lang w:val="hr"/>
              </w:rPr>
              <w:t>26 181 000,00</w:t>
            </w:r>
          </w:p>
        </w:tc>
      </w:tr>
    </w:tbl>
    <w:p w14:paraId="007EF401" w14:textId="77777777" w:rsidR="00CB4EBF" w:rsidRPr="001C431F" w:rsidRDefault="00CB4EBF" w:rsidP="00CB4EBF">
      <w:pPr>
        <w:rPr>
          <w:rFonts w:eastAsia="Times New Roman" w:cs="Times New Roman"/>
          <w:b/>
          <w:noProof/>
          <w:color w:val="000000"/>
          <w:sz w:val="20"/>
          <w:szCs w:val="20"/>
        </w:rPr>
      </w:pPr>
      <w:r>
        <w:rPr>
          <w:rFonts w:eastAsia="Times New Roman" w:cs="Times New Roman"/>
          <w:b/>
          <w:bCs/>
          <w:noProof/>
          <w:color w:val="000000"/>
          <w:sz w:val="20"/>
          <w:szCs w:val="20"/>
          <w:lang w:val="hr"/>
        </w:rPr>
        <w:br w:type="page"/>
      </w:r>
    </w:p>
    <w:p w14:paraId="2163717A" w14:textId="77777777" w:rsidR="00CB4EBF" w:rsidRPr="001C431F" w:rsidRDefault="00CB4EBF" w:rsidP="00CB4EBF">
      <w:pPr>
        <w:spacing w:after="0" w:line="240" w:lineRule="auto"/>
        <w:jc w:val="both"/>
        <w:rPr>
          <w:rFonts w:eastAsia="Times New Roman" w:cs="Times New Roman"/>
          <w:b/>
          <w:noProof/>
          <w:color w:val="000000"/>
          <w:sz w:val="20"/>
          <w:szCs w:val="20"/>
        </w:rPr>
      </w:pPr>
      <w:r>
        <w:rPr>
          <w:rFonts w:eastAsia="Times New Roman" w:cs="Times New Roman"/>
          <w:b/>
          <w:bCs/>
          <w:noProof/>
          <w:color w:val="000000"/>
          <w:sz w:val="20"/>
          <w:szCs w:val="20"/>
          <w:lang w:val="hr"/>
        </w:rPr>
        <w:lastRenderedPageBreak/>
        <w:t>Prioritet br. 3. Uključiva pogranična regija</w:t>
      </w:r>
    </w:p>
    <w:p w14:paraId="7F05281D" w14:textId="77777777" w:rsidR="00CB4EBF" w:rsidRPr="001C431F" w:rsidRDefault="00CB4EBF" w:rsidP="00CB4EBF">
      <w:pPr>
        <w:spacing w:after="0" w:line="240" w:lineRule="auto"/>
        <w:jc w:val="both"/>
        <w:rPr>
          <w:rFonts w:eastAsia="Times New Roman" w:cs="Times New Roman"/>
          <w:b/>
          <w:noProof/>
          <w:color w:val="000000"/>
          <w:sz w:val="20"/>
          <w:szCs w:val="20"/>
        </w:rPr>
      </w:pPr>
      <w:r>
        <w:rPr>
          <w:rFonts w:eastAsia="Times New Roman" w:cs="Times New Roman"/>
          <w:i/>
          <w:iCs/>
          <w:noProof/>
          <w:color w:val="000000"/>
          <w:sz w:val="20"/>
          <w:szCs w:val="20"/>
          <w:lang w:val="hr"/>
        </w:rPr>
        <w:t>Upućivanje: članak 17. stavak 3. točka (d)</w:t>
      </w:r>
    </w:p>
    <w:p w14:paraId="03E0E13A"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p>
    <w:p w14:paraId="652D3387" w14:textId="77777777" w:rsidR="00CB4EBF" w:rsidRPr="001C431F" w:rsidRDefault="00CB4EBF" w:rsidP="00CB4EBF">
      <w:pPr>
        <w:spacing w:after="0" w:line="240" w:lineRule="auto"/>
        <w:jc w:val="both"/>
        <w:rPr>
          <w:rFonts w:eastAsia="Times New Roman" w:cs="Times New Roman"/>
          <w:iCs/>
          <w:noProof/>
          <w:sz w:val="20"/>
          <w:szCs w:val="20"/>
        </w:rPr>
      </w:pPr>
      <w:r>
        <w:rPr>
          <w:rFonts w:cs="Times New Roman"/>
          <w:b/>
          <w:bCs/>
          <w:noProof/>
          <w:sz w:val="20"/>
          <w:szCs w:val="20"/>
          <w:lang w:val="hr"/>
        </w:rPr>
        <w:t xml:space="preserve">ii. </w:t>
      </w:r>
      <w:r>
        <w:rPr>
          <w:rFonts w:cs="Times New Roman"/>
          <w:b/>
          <w:bCs/>
          <w:sz w:val="20"/>
          <w:szCs w:val="20"/>
          <w:lang w:val="hr"/>
        </w:rPr>
        <w:t xml:space="preserve">Poboljšanje jednakog pristupa </w:t>
      </w:r>
      <w:proofErr w:type="spellStart"/>
      <w:r>
        <w:rPr>
          <w:rFonts w:cs="Times New Roman"/>
          <w:b/>
          <w:bCs/>
          <w:sz w:val="20"/>
          <w:szCs w:val="20"/>
          <w:lang w:val="hr"/>
        </w:rPr>
        <w:t>uključivim</w:t>
      </w:r>
      <w:proofErr w:type="spellEnd"/>
      <w:r>
        <w:rPr>
          <w:rFonts w:cs="Times New Roman"/>
          <w:b/>
          <w:bCs/>
          <w:sz w:val="20"/>
          <w:szCs w:val="20"/>
          <w:lang w:val="hr"/>
        </w:rPr>
        <w:t xml:space="preserve"> i kvalitetnim uslugama obrazovanja, osposobljavanja i cjeloživotnog učenja kroz razvoj pristupačne infrastrukture, među ostalim i jačanjem otpornosti obrazovanja i osposobljavanja na daljinu i na internetu</w:t>
      </w:r>
    </w:p>
    <w:p w14:paraId="121EAA7F"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i/>
          <w:iCs/>
          <w:noProof/>
          <w:color w:val="000000"/>
          <w:sz w:val="20"/>
          <w:szCs w:val="20"/>
          <w:lang w:val="hr"/>
        </w:rPr>
        <w:t>Upućivanje: članak 17. stavak 3. točka (e)</w:t>
      </w:r>
    </w:p>
    <w:p w14:paraId="3D7F858E"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p>
    <w:p w14:paraId="603373FF" w14:textId="77777777" w:rsidR="00CB4EBF" w:rsidRPr="001C431F" w:rsidRDefault="00CB4EBF" w:rsidP="00CB4EBF">
      <w:pPr>
        <w:spacing w:after="0" w:line="240" w:lineRule="auto"/>
        <w:jc w:val="both"/>
        <w:rPr>
          <w:rFonts w:eastAsia="Times New Roman" w:cs="Times New Roman"/>
          <w:iCs/>
          <w:noProof/>
          <w:sz w:val="20"/>
          <w:szCs w:val="20"/>
        </w:rPr>
      </w:pPr>
      <w:r>
        <w:rPr>
          <w:rFonts w:eastAsia="Times New Roman" w:cs="Times New Roman"/>
          <w:b/>
          <w:bCs/>
          <w:noProof/>
          <w:sz w:val="20"/>
          <w:szCs w:val="20"/>
          <w:lang w:val="hr"/>
        </w:rPr>
        <w:t>Povezane vrste djelovanja i njihov očekivani doprinos tim specifičnim ciljevima i makroregionalnim strategijama te strategijama morskih bazena, prema potrebi</w:t>
      </w:r>
    </w:p>
    <w:p w14:paraId="30F5EE8E" w14:textId="77777777" w:rsidR="00CB4EBF" w:rsidRDefault="00CB4EBF" w:rsidP="00CB4EBF">
      <w:pPr>
        <w:spacing w:after="0" w:line="240" w:lineRule="auto"/>
        <w:jc w:val="both"/>
        <w:rPr>
          <w:rFonts w:eastAsia="Times New Roman" w:cs="Times New Roman"/>
          <w:i/>
          <w:noProof/>
          <w:color w:val="000000"/>
          <w:sz w:val="20"/>
          <w:szCs w:val="20"/>
        </w:rPr>
      </w:pPr>
      <w:r>
        <w:rPr>
          <w:rFonts w:eastAsia="Times New Roman" w:cs="Times New Roman"/>
          <w:i/>
          <w:iCs/>
          <w:noProof/>
          <w:color w:val="000000"/>
          <w:sz w:val="20"/>
          <w:szCs w:val="20"/>
          <w:lang w:val="hr"/>
        </w:rPr>
        <w:t>Upućivanje: članak 17. stavak 3. točka (e) podtočka i., članak 17. stavak 9. točka (c) podtočka ii.</w:t>
      </w:r>
    </w:p>
    <w:p w14:paraId="65CD8D28" w14:textId="77777777" w:rsidR="00CB4EBF" w:rsidRDefault="00CB4EBF" w:rsidP="00CB4EBF">
      <w:pPr>
        <w:spacing w:after="0" w:line="240" w:lineRule="auto"/>
        <w:jc w:val="both"/>
        <w:rPr>
          <w:rFonts w:eastAsia="Times New Roman" w:cs="Times New Roman"/>
          <w:i/>
          <w:noProof/>
          <w:color w:val="000000"/>
          <w:sz w:val="20"/>
          <w:szCs w:val="20"/>
        </w:rPr>
      </w:pPr>
    </w:p>
    <w:p w14:paraId="19AD33FD" w14:textId="77777777" w:rsidR="00CB4EBF" w:rsidRDefault="00CB4EBF" w:rsidP="00CB4EBF">
      <w:p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Očekuje se da će projekti koji prime potporu imati sljedeće ishode:</w:t>
      </w:r>
    </w:p>
    <w:p w14:paraId="24B03F70" w14:textId="77777777" w:rsidR="00CB4EBF" w:rsidRPr="008326EE" w:rsidRDefault="00CB4EBF" w:rsidP="00CB4EBF">
      <w:pPr>
        <w:pStyle w:val="ListParagraph"/>
        <w:numPr>
          <w:ilvl w:val="0"/>
          <w:numId w:val="21"/>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Povećana ponuda obrazovanja i osposobljavanja koju pružaju lokalne visokoškolske ustanove s novim, zajednički razvijenim i isporučenim nastavnim planovima;</w:t>
      </w:r>
    </w:p>
    <w:p w14:paraId="187E6CF4" w14:textId="77777777" w:rsidR="00CB4EBF" w:rsidRPr="008326EE" w:rsidRDefault="00CB4EBF" w:rsidP="00CB4EBF">
      <w:pPr>
        <w:pStyle w:val="ListParagraph"/>
        <w:numPr>
          <w:ilvl w:val="0"/>
          <w:numId w:val="21"/>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Bolje iskorištene mogućnost za dvojno stručno osposobljavanje;</w:t>
      </w:r>
    </w:p>
    <w:p w14:paraId="45268822" w14:textId="77777777" w:rsidR="00CB4EBF" w:rsidRPr="008326EE" w:rsidRDefault="00CB4EBF" w:rsidP="00CB4EBF">
      <w:pPr>
        <w:pStyle w:val="ListParagraph"/>
        <w:numPr>
          <w:ilvl w:val="0"/>
          <w:numId w:val="21"/>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Povećano sudjelovanje odraslih u obrazovanju;</w:t>
      </w:r>
    </w:p>
    <w:p w14:paraId="724162BB" w14:textId="77777777" w:rsidR="00CB4EBF" w:rsidRPr="008326EE" w:rsidRDefault="00CB4EBF" w:rsidP="00CB4EBF">
      <w:pPr>
        <w:pStyle w:val="ListParagraph"/>
        <w:numPr>
          <w:ilvl w:val="0"/>
          <w:numId w:val="21"/>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Unaprijeđena međukulturna razmjena i razumijevanje;</w:t>
      </w:r>
    </w:p>
    <w:p w14:paraId="51758CBB" w14:textId="77777777" w:rsidR="00CB4EBF" w:rsidRPr="008326EE" w:rsidRDefault="00CB4EBF" w:rsidP="00CB4EBF">
      <w:pPr>
        <w:pStyle w:val="ListParagraph"/>
        <w:numPr>
          <w:ilvl w:val="0"/>
          <w:numId w:val="21"/>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Poboljšane jezične vještine stanovnika pogranične regije;</w:t>
      </w:r>
    </w:p>
    <w:p w14:paraId="25A4B1E2" w14:textId="77777777" w:rsidR="00CB4EBF" w:rsidRPr="008326EE" w:rsidRDefault="00CB4EBF" w:rsidP="00CB4EBF">
      <w:pPr>
        <w:pStyle w:val="ListParagraph"/>
        <w:numPr>
          <w:ilvl w:val="0"/>
          <w:numId w:val="21"/>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Novi sadržaji o zemlji i regiji druge strane za osnovne i srednje škole;</w:t>
      </w:r>
    </w:p>
    <w:p w14:paraId="3A48FDAC" w14:textId="77777777" w:rsidR="00CB4EBF" w:rsidRPr="008326EE" w:rsidRDefault="00CB4EBF" w:rsidP="00CB4EBF">
      <w:pPr>
        <w:pStyle w:val="ListParagraph"/>
        <w:numPr>
          <w:ilvl w:val="0"/>
          <w:numId w:val="21"/>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Povećana uključenost grupa i pojedinaca u nepovoljnom položaju, uključujući Rome, u aktivnosti obrazovanja i osposobljavanja;</w:t>
      </w:r>
    </w:p>
    <w:p w14:paraId="1D388FC5" w14:textId="77777777" w:rsidR="00CB4EBF" w:rsidRPr="008326EE" w:rsidRDefault="00CB4EBF" w:rsidP="00CB4EBF">
      <w:pPr>
        <w:pStyle w:val="ListParagraph"/>
        <w:numPr>
          <w:ilvl w:val="0"/>
          <w:numId w:val="21"/>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Svijest o zajedničkim prirodnim i kulturnim vrijednostima pograničnog područja među djecom i mladima;</w:t>
      </w:r>
    </w:p>
    <w:p w14:paraId="1DF03BB4" w14:textId="77777777" w:rsidR="00CB4EBF" w:rsidRPr="008326EE" w:rsidRDefault="00CB4EBF" w:rsidP="00CB4EBF">
      <w:pPr>
        <w:pStyle w:val="ListParagraph"/>
        <w:numPr>
          <w:ilvl w:val="0"/>
          <w:numId w:val="21"/>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Razvijen pozitivan stav u odnosu na CBC od rane dobi;</w:t>
      </w:r>
    </w:p>
    <w:p w14:paraId="242F38A4" w14:textId="77777777" w:rsidR="00CB4EBF" w:rsidRPr="008326EE" w:rsidRDefault="00CB4EBF" w:rsidP="00CB4EBF">
      <w:pPr>
        <w:pStyle w:val="ListParagraph"/>
        <w:numPr>
          <w:ilvl w:val="0"/>
          <w:numId w:val="21"/>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Motivirana djeca i mladi zahvaljujući uključivanju u zajedničke obrazovne aktivnosti;</w:t>
      </w:r>
    </w:p>
    <w:p w14:paraId="429CB3A9" w14:textId="77777777" w:rsidR="00CB4EBF" w:rsidRPr="008326EE" w:rsidRDefault="00CB4EBF" w:rsidP="00CB4EBF">
      <w:pPr>
        <w:pStyle w:val="ListParagraph"/>
        <w:numPr>
          <w:ilvl w:val="0"/>
          <w:numId w:val="21"/>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Povećana društvena uključenost skupina u nepovoljnom položaju;</w:t>
      </w:r>
    </w:p>
    <w:p w14:paraId="10A52A32" w14:textId="77777777" w:rsidR="00CB4EBF" w:rsidRDefault="00CB4EBF" w:rsidP="00CB4EBF">
      <w:pPr>
        <w:pStyle w:val="ListParagraph"/>
        <w:numPr>
          <w:ilvl w:val="0"/>
          <w:numId w:val="21"/>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Razvijen osjećaj pripadnosti široj zajednici regije.</w:t>
      </w:r>
    </w:p>
    <w:p w14:paraId="2B5084CD" w14:textId="77777777" w:rsidR="00CB4EBF" w:rsidRDefault="00CB4EBF" w:rsidP="00CB4EBF">
      <w:pPr>
        <w:spacing w:after="0" w:line="240" w:lineRule="auto"/>
        <w:jc w:val="both"/>
        <w:rPr>
          <w:rFonts w:eastAsia="Times New Roman" w:cs="Times New Roman"/>
          <w:noProof/>
          <w:color w:val="000000"/>
          <w:sz w:val="20"/>
          <w:szCs w:val="20"/>
        </w:rPr>
      </w:pPr>
    </w:p>
    <w:p w14:paraId="4B036EA2" w14:textId="77777777" w:rsidR="00CB4EBF" w:rsidRDefault="00CB4EBF" w:rsidP="00CB4EBF">
      <w:p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Kako bi se svladale prepoznate obrazovne prepreke, uključujući utjecaje pandemije, i poboljšala suradnja u obrazovanju za sve generacije u skladu s potrebama granične regije, ova intervencija treba razviti sredstva koja promiču specifičnu lokalnu bazu znanja, kao i iskorištavaju razvojne mogućnosti međukulturalne suradnje.</w:t>
      </w:r>
    </w:p>
    <w:p w14:paraId="5DB8259A" w14:textId="77777777" w:rsidR="00CB4EBF" w:rsidRPr="008326EE" w:rsidRDefault="00CB4EBF" w:rsidP="00CB4EBF">
      <w:pPr>
        <w:spacing w:after="0" w:line="240" w:lineRule="auto"/>
        <w:jc w:val="both"/>
        <w:rPr>
          <w:rFonts w:eastAsia="Times New Roman" w:cs="Times New Roman"/>
          <w:noProof/>
          <w:color w:val="000000"/>
          <w:sz w:val="20"/>
          <w:szCs w:val="20"/>
        </w:rPr>
      </w:pPr>
    </w:p>
    <w:p w14:paraId="7C875C3C" w14:textId="77777777" w:rsidR="00CB4EBF" w:rsidRDefault="00CB4EBF" w:rsidP="00CB4EBF">
      <w:p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Potporu će dobiti obrazovni projekti sa sljedećim intervencijskim područjima, među ostalim:</w:t>
      </w:r>
    </w:p>
    <w:p w14:paraId="6FEA5B16" w14:textId="77777777" w:rsidR="00CB4EBF" w:rsidRPr="00B723CC" w:rsidRDefault="00CB4EBF" w:rsidP="00CB4EBF">
      <w:pPr>
        <w:pStyle w:val="ListParagraph"/>
        <w:numPr>
          <w:ilvl w:val="0"/>
          <w:numId w:val="18"/>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Opće javno obrazovanje i obrazovanje u skladu s potrebama tržišta rada, uključujući razvoj „mekih” vještina;</w:t>
      </w:r>
    </w:p>
    <w:p w14:paraId="0CB54D69" w14:textId="77777777" w:rsidR="00CB4EBF" w:rsidRPr="00B723CC" w:rsidRDefault="00CB4EBF" w:rsidP="00CB4EBF">
      <w:pPr>
        <w:pStyle w:val="ListParagraph"/>
        <w:numPr>
          <w:ilvl w:val="0"/>
          <w:numId w:val="18"/>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Otvoreno za sve obrazovne ustanove, od predškolskog do obrazovanja odraslih, uključujući privatne ustanove koje djeluju kao neprofitna tijela;</w:t>
      </w:r>
    </w:p>
    <w:p w14:paraId="226776B5" w14:textId="77777777" w:rsidR="00CB4EBF" w:rsidRPr="00B723CC" w:rsidRDefault="00CB4EBF" w:rsidP="00CB4EBF">
      <w:pPr>
        <w:pStyle w:val="ListParagraph"/>
        <w:numPr>
          <w:ilvl w:val="0"/>
          <w:numId w:val="18"/>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Multisektorski i inovativni pristupi u osmišljavanju i izvođenju obrazovnih programa;</w:t>
      </w:r>
    </w:p>
    <w:p w14:paraId="7641D51E" w14:textId="77777777" w:rsidR="00CB4EBF" w:rsidRPr="00B723CC" w:rsidRDefault="00CB4EBF" w:rsidP="00CB4EBF">
      <w:pPr>
        <w:pStyle w:val="ListParagraph"/>
        <w:numPr>
          <w:ilvl w:val="0"/>
          <w:numId w:val="18"/>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 xml:space="preserve">Dopušten je razvoj infrastrukture ako je izravno povezan s ciljevima projekta; </w:t>
      </w:r>
    </w:p>
    <w:p w14:paraId="5699D828" w14:textId="77777777" w:rsidR="00CB4EBF" w:rsidRPr="00B723CC" w:rsidRDefault="00CB4EBF" w:rsidP="00CB4EBF">
      <w:pPr>
        <w:pStyle w:val="ListParagraph"/>
        <w:numPr>
          <w:ilvl w:val="0"/>
          <w:numId w:val="18"/>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Omogućavanje pružanja obrazovnih programa na internetu;</w:t>
      </w:r>
    </w:p>
    <w:p w14:paraId="670664E6" w14:textId="77777777" w:rsidR="00CB4EBF" w:rsidRPr="00B723CC" w:rsidRDefault="00CB4EBF" w:rsidP="00CB4EBF">
      <w:pPr>
        <w:pStyle w:val="ListParagraph"/>
        <w:numPr>
          <w:ilvl w:val="0"/>
          <w:numId w:val="18"/>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Razmjena najboljih praksi u obrazovanju.</w:t>
      </w:r>
    </w:p>
    <w:p w14:paraId="7B59BABF" w14:textId="77777777" w:rsidR="00CB4EBF" w:rsidRDefault="00CB4EBF" w:rsidP="00CB4EBF">
      <w:pPr>
        <w:spacing w:after="0" w:line="240" w:lineRule="auto"/>
        <w:jc w:val="both"/>
        <w:rPr>
          <w:rFonts w:eastAsia="Times New Roman" w:cs="Times New Roman"/>
          <w:noProof/>
          <w:color w:val="000000"/>
          <w:sz w:val="20"/>
          <w:szCs w:val="20"/>
        </w:rPr>
      </w:pPr>
    </w:p>
    <w:p w14:paraId="3C5E2082" w14:textId="77777777" w:rsidR="00CB4EBF" w:rsidRDefault="00CB4EBF" w:rsidP="00CB4EBF">
      <w:pPr>
        <w:spacing w:after="0"/>
        <w:jc w:val="both"/>
        <w:rPr>
          <w:rFonts w:cs="Times New Roman"/>
          <w:sz w:val="20"/>
          <w:szCs w:val="20"/>
        </w:rPr>
      </w:pPr>
      <w:r>
        <w:rPr>
          <w:rFonts w:cs="Times New Roman"/>
          <w:sz w:val="20"/>
          <w:szCs w:val="20"/>
          <w:lang w:val="hr"/>
        </w:rPr>
        <w:t>Radnje koje se trebaju podržati shemama potpore s otvorenim pozivom, među ostalim:</w:t>
      </w:r>
    </w:p>
    <w:p w14:paraId="0211DD18" w14:textId="77777777" w:rsidR="00CB4EBF" w:rsidRPr="00B723CC" w:rsidRDefault="00CB4EBF" w:rsidP="00CB4EBF">
      <w:pPr>
        <w:pStyle w:val="ListParagraph"/>
        <w:numPr>
          <w:ilvl w:val="0"/>
          <w:numId w:val="19"/>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Provedba aktivnosti s ciljem popularizacije STEM područja (znanost, tehnologija, inženjerstvo i matematika), uključujući aktivnosti izgradnje ili osnivanja STEM centara i parkova, provedbu edukacije, kampova i nabavu potrebne opreme;</w:t>
      </w:r>
    </w:p>
    <w:p w14:paraId="025B883C" w14:textId="77777777" w:rsidR="00CB4EBF" w:rsidRPr="00B723CC" w:rsidRDefault="00CB4EBF" w:rsidP="00CB4EBF">
      <w:pPr>
        <w:pStyle w:val="ListParagraph"/>
        <w:numPr>
          <w:ilvl w:val="0"/>
          <w:numId w:val="19"/>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Regionalne visokoškolske ustanove izrađuju i provode zajedničke nastavne planove/predmete;</w:t>
      </w:r>
    </w:p>
    <w:p w14:paraId="0C862737" w14:textId="77777777" w:rsidR="00CB4EBF" w:rsidRPr="00B723CC" w:rsidRDefault="00CB4EBF" w:rsidP="00CB4EBF">
      <w:pPr>
        <w:pStyle w:val="ListParagraph"/>
        <w:numPr>
          <w:ilvl w:val="0"/>
          <w:numId w:val="19"/>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Stručna ocjena prepoznatih dobrih praksi u vezi s metodama poučavanja međukulturalnog znanja za razmjenu među nastavnim osobljem pružatelja obrazovanja s obje strane granice;</w:t>
      </w:r>
    </w:p>
    <w:p w14:paraId="119B230C" w14:textId="77777777" w:rsidR="00CB4EBF" w:rsidRPr="00B723CC" w:rsidRDefault="00CB4EBF" w:rsidP="00CB4EBF">
      <w:pPr>
        <w:pStyle w:val="ListParagraph"/>
        <w:numPr>
          <w:ilvl w:val="0"/>
          <w:numId w:val="19"/>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Razvoj i ispitivanje materijala za osposobljavanje za bolje znanje o kulturi regije;</w:t>
      </w:r>
    </w:p>
    <w:p w14:paraId="079C4CD0" w14:textId="77777777" w:rsidR="00CB4EBF" w:rsidRPr="00B723CC" w:rsidRDefault="00CB4EBF" w:rsidP="00CB4EBF">
      <w:pPr>
        <w:pStyle w:val="ListParagraph"/>
        <w:numPr>
          <w:ilvl w:val="0"/>
          <w:numId w:val="19"/>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Prilagodba programâ i opreme za isporuku putem interneta radi svladavanja utjecaja pandemije;</w:t>
      </w:r>
    </w:p>
    <w:p w14:paraId="123B737E" w14:textId="77777777" w:rsidR="00CB4EBF" w:rsidRPr="00B723CC" w:rsidRDefault="00CB4EBF" w:rsidP="00CB4EBF">
      <w:pPr>
        <w:pStyle w:val="ListParagraph"/>
        <w:numPr>
          <w:ilvl w:val="0"/>
          <w:numId w:val="19"/>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Kupnja opreme isključivo kao komplementarna aktivnost za zajednički planirane tečajeve i usluge ako se zajednička isporuka planirane aktivnosti ne može kvalitetno provesti na drugi način;</w:t>
      </w:r>
    </w:p>
    <w:p w14:paraId="0DCA6556" w14:textId="77777777" w:rsidR="00CB4EBF" w:rsidRPr="00B723CC" w:rsidRDefault="00CB4EBF" w:rsidP="00CB4EBF">
      <w:pPr>
        <w:pStyle w:val="ListParagraph"/>
        <w:numPr>
          <w:ilvl w:val="0"/>
          <w:numId w:val="19"/>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Nadogradnja obrazovnih lokacija u malim razmjerima kao komplementarna aktivnost za zajednički planirane tečajeve i usluge ako se zajednička isporuka planirane aktivnosti ne može kvalitetno provesti na drugi način;</w:t>
      </w:r>
    </w:p>
    <w:p w14:paraId="289E5D3E" w14:textId="77777777" w:rsidR="00CB4EBF" w:rsidRPr="00B723CC" w:rsidRDefault="00CB4EBF" w:rsidP="00CB4EBF">
      <w:pPr>
        <w:pStyle w:val="ListParagraph"/>
        <w:numPr>
          <w:ilvl w:val="0"/>
          <w:numId w:val="19"/>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Razvoj i pružanje zajedničkih shema poticaja (stažiranja, praksa, zaposleni studenti) kako bi se osiguralo da osobe s kvalifikacijom koje studiraju s jedne strane granice mogu steći praktična iskustva s druge strane;</w:t>
      </w:r>
    </w:p>
    <w:p w14:paraId="5E6BE25D" w14:textId="77777777" w:rsidR="00CB4EBF" w:rsidRPr="00B723CC" w:rsidRDefault="00CB4EBF" w:rsidP="00CB4EBF">
      <w:pPr>
        <w:pStyle w:val="ListParagraph"/>
        <w:numPr>
          <w:ilvl w:val="0"/>
          <w:numId w:val="19"/>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Razvoj i izvođenje zajedničkih programa u dvojnom obrazovanju za potporu razmjeni pripravnika s vještinama ili u sektorima zapošljavanja zastupljenima u pograničnom području;</w:t>
      </w:r>
    </w:p>
    <w:p w14:paraId="6BD8056A" w14:textId="77777777" w:rsidR="00CB4EBF" w:rsidRPr="00B723CC" w:rsidRDefault="00CB4EBF" w:rsidP="00CB4EBF">
      <w:pPr>
        <w:pStyle w:val="ListParagraph"/>
        <w:numPr>
          <w:ilvl w:val="0"/>
          <w:numId w:val="19"/>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lastRenderedPageBreak/>
        <w:t>Razvoj i izvođenje programa obrazovanja i radionica za odrasle u pograničnom području;</w:t>
      </w:r>
    </w:p>
    <w:p w14:paraId="5954A878" w14:textId="77777777" w:rsidR="00CB4EBF" w:rsidRPr="00B723CC" w:rsidRDefault="00CB4EBF" w:rsidP="00CB4EBF">
      <w:pPr>
        <w:pStyle w:val="ListParagraph"/>
        <w:numPr>
          <w:ilvl w:val="0"/>
          <w:numId w:val="19"/>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Razvoj i izvođenje izbornih tečajeva, obrazovnih radionica za osnovne i srednje škole u pograničnom području;</w:t>
      </w:r>
    </w:p>
    <w:p w14:paraId="1FCFF244" w14:textId="77777777" w:rsidR="00CB4EBF" w:rsidRPr="00B723CC" w:rsidRDefault="00CB4EBF" w:rsidP="00CB4EBF">
      <w:pPr>
        <w:pStyle w:val="ListParagraph"/>
        <w:numPr>
          <w:ilvl w:val="0"/>
          <w:numId w:val="19"/>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Razvoj zajedničkih obrazovnih aktivnosti za djecu predškolske i školske dobi u pograničnom području;</w:t>
      </w:r>
    </w:p>
    <w:p w14:paraId="078DD90C" w14:textId="77777777" w:rsidR="00CB4EBF" w:rsidRPr="00B723CC" w:rsidRDefault="00CB4EBF" w:rsidP="00CB4EBF">
      <w:pPr>
        <w:pStyle w:val="ListParagraph"/>
        <w:numPr>
          <w:ilvl w:val="0"/>
          <w:numId w:val="19"/>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Razvoj zajedničkih obrazovnih aktivnosti i jačanje kapaciteta centara izvrsnosti (npr. obrazovne aktivnosti za potencijalno napredne učenike);</w:t>
      </w:r>
    </w:p>
    <w:p w14:paraId="67CC59A1" w14:textId="77777777" w:rsidR="00CB4EBF" w:rsidRPr="00B723CC" w:rsidRDefault="00CB4EBF" w:rsidP="00CB4EBF">
      <w:pPr>
        <w:pStyle w:val="ListParagraph"/>
        <w:numPr>
          <w:ilvl w:val="0"/>
          <w:numId w:val="19"/>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Osmišljavanje i izvođenje tečajeva jezika relevantnih za međukulturnu suradnju u pograničnoj regiji;</w:t>
      </w:r>
    </w:p>
    <w:p w14:paraId="25975F24" w14:textId="77777777" w:rsidR="00CB4EBF" w:rsidRPr="00B723CC" w:rsidRDefault="00CB4EBF" w:rsidP="00CB4EBF">
      <w:pPr>
        <w:pStyle w:val="ListParagraph"/>
        <w:numPr>
          <w:ilvl w:val="0"/>
          <w:numId w:val="19"/>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Poticaji za razvoj mreža za škole ili sestrinskih škola s ciljem prijenosa znanja na temelju dobrih praksi;</w:t>
      </w:r>
    </w:p>
    <w:p w14:paraId="3B299FE6" w14:textId="77777777" w:rsidR="00CB4EBF" w:rsidRDefault="00CB4EBF" w:rsidP="00CB4EBF">
      <w:pPr>
        <w:pStyle w:val="ListParagraph"/>
        <w:numPr>
          <w:ilvl w:val="0"/>
          <w:numId w:val="19"/>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Osmišljavanje i izvođenje vježbeničkih praksi za nastavnike u poduzećima;</w:t>
      </w:r>
    </w:p>
    <w:p w14:paraId="46E820C2" w14:textId="77777777" w:rsidR="00CB4EBF" w:rsidRPr="00B723CC" w:rsidRDefault="00CB4EBF" w:rsidP="00CB4EBF">
      <w:pPr>
        <w:pStyle w:val="ListParagraph"/>
        <w:numPr>
          <w:ilvl w:val="0"/>
          <w:numId w:val="19"/>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Razvoj i provedba programa za unapređenje „mekih” vještina.</w:t>
      </w:r>
    </w:p>
    <w:p w14:paraId="523D8306" w14:textId="77777777" w:rsidR="00CB4EBF" w:rsidRDefault="00CB4EBF" w:rsidP="00CB4EBF">
      <w:pPr>
        <w:spacing w:after="0" w:line="240" w:lineRule="auto"/>
        <w:jc w:val="both"/>
        <w:rPr>
          <w:rFonts w:eastAsia="Times New Roman" w:cs="Times New Roman"/>
          <w:noProof/>
          <w:color w:val="000000"/>
          <w:sz w:val="20"/>
          <w:szCs w:val="20"/>
        </w:rPr>
      </w:pPr>
    </w:p>
    <w:p w14:paraId="1CD86123" w14:textId="77777777" w:rsidR="00CB4EBF" w:rsidRDefault="00CB4EBF" w:rsidP="00CB4EBF">
      <w:p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Provest će se konkretna djelovanja kako bi se pomoglo u integraciji marginaliziranih skupina u društvu, kao što su ljudi koji žive u siromaštvu i, posebno, Romi. Indikativna djelovanja mogu uključivati:</w:t>
      </w:r>
    </w:p>
    <w:p w14:paraId="34133B08" w14:textId="77777777" w:rsidR="00CB4EBF" w:rsidRPr="00B723CC" w:rsidRDefault="00CB4EBF" w:rsidP="00CB4EBF">
      <w:pPr>
        <w:pStyle w:val="ListParagraph"/>
        <w:numPr>
          <w:ilvl w:val="0"/>
          <w:numId w:val="20"/>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Osmišljavanje i pokretanje mentorskog sustava kako bi se pomoglo osobama iz marginaliziranih skupina da sudjeluju u osmišljenim programima;</w:t>
      </w:r>
    </w:p>
    <w:p w14:paraId="60CC680A" w14:textId="77777777" w:rsidR="00CB4EBF" w:rsidRPr="00B723CC" w:rsidRDefault="00CB4EBF" w:rsidP="00CB4EBF">
      <w:pPr>
        <w:pStyle w:val="ListParagraph"/>
        <w:numPr>
          <w:ilvl w:val="0"/>
          <w:numId w:val="20"/>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Osmišljavanje i pokretanje mentorskog sustava za posebno prilagođeno osposobljavanje nastavnika koji rade u školama u zaostalim područjima;</w:t>
      </w:r>
    </w:p>
    <w:p w14:paraId="1CC02213" w14:textId="77777777" w:rsidR="00CB4EBF" w:rsidRPr="00B723CC" w:rsidRDefault="00CB4EBF" w:rsidP="00CB4EBF">
      <w:pPr>
        <w:pStyle w:val="ListParagraph"/>
        <w:numPr>
          <w:ilvl w:val="0"/>
          <w:numId w:val="20"/>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Posebni lokalni informativni događaji čiji je cilj poticanje sudjelovanja škola s visokim udjelom Roma.</w:t>
      </w:r>
    </w:p>
    <w:p w14:paraId="11E7EF99" w14:textId="77777777" w:rsidR="00CB4EBF" w:rsidRDefault="00CB4EBF" w:rsidP="00CB4EBF">
      <w:pPr>
        <w:spacing w:after="0" w:line="240" w:lineRule="auto"/>
        <w:jc w:val="both"/>
        <w:rPr>
          <w:rFonts w:eastAsia="Times New Roman" w:cs="Times New Roman"/>
          <w:noProof/>
          <w:color w:val="000000"/>
          <w:sz w:val="20"/>
          <w:szCs w:val="20"/>
        </w:rPr>
      </w:pPr>
    </w:p>
    <w:p w14:paraId="09DF7902" w14:textId="77777777" w:rsidR="00CB4EBF" w:rsidRDefault="00CB4EBF" w:rsidP="00CB4EBF">
      <w:pPr>
        <w:spacing w:after="0"/>
        <w:jc w:val="both"/>
        <w:rPr>
          <w:rFonts w:cs="Times New Roman"/>
          <w:sz w:val="20"/>
          <w:szCs w:val="20"/>
        </w:rPr>
      </w:pPr>
      <w:r>
        <w:rPr>
          <w:rFonts w:cs="Times New Roman"/>
          <w:sz w:val="20"/>
          <w:szCs w:val="20"/>
          <w:lang w:val="hr"/>
        </w:rPr>
        <w:t>Najvažnija načela za kriterije odabira, među ostalim, jesu:</w:t>
      </w:r>
    </w:p>
    <w:p w14:paraId="5D31EC96" w14:textId="77777777" w:rsidR="00CB4EBF" w:rsidRPr="00B723CC" w:rsidRDefault="00CB4EBF" w:rsidP="00CB4EBF">
      <w:pPr>
        <w:pStyle w:val="ListParagraph"/>
        <w:numPr>
          <w:ilvl w:val="0"/>
          <w:numId w:val="21"/>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Doprinos postizanju određenog cilja;</w:t>
      </w:r>
    </w:p>
    <w:p w14:paraId="5F4E0C6F" w14:textId="77777777" w:rsidR="00CB4EBF" w:rsidRPr="00B723CC" w:rsidRDefault="00CB4EBF" w:rsidP="00CB4EBF">
      <w:pPr>
        <w:pStyle w:val="ListParagraph"/>
        <w:numPr>
          <w:ilvl w:val="0"/>
          <w:numId w:val="21"/>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Bolja suradnja među obrazovnim institucijama i ustanovama za osposobljavanje na svim razinama;</w:t>
      </w:r>
    </w:p>
    <w:p w14:paraId="503FE546" w14:textId="77777777" w:rsidR="00CB4EBF" w:rsidRPr="00B723CC" w:rsidRDefault="00CB4EBF" w:rsidP="00CB4EBF">
      <w:pPr>
        <w:pStyle w:val="ListParagraph"/>
        <w:numPr>
          <w:ilvl w:val="0"/>
          <w:numId w:val="21"/>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Sadržaj nastavnih planova temelji se na lokalnom i/ili međukulturalnom znanju;</w:t>
      </w:r>
    </w:p>
    <w:p w14:paraId="3E4B9E4C" w14:textId="77777777" w:rsidR="00CB4EBF" w:rsidRPr="00B723CC" w:rsidRDefault="00CB4EBF" w:rsidP="00CB4EBF">
      <w:pPr>
        <w:pStyle w:val="ListParagraph"/>
        <w:numPr>
          <w:ilvl w:val="0"/>
          <w:numId w:val="21"/>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Kupnja opreme ili manja nadogradnja obrazovnih prostora opravdana kao komplementarne aktivnosti zajednički razvijenim relevantnim obrazovnim uslugama;</w:t>
      </w:r>
    </w:p>
    <w:p w14:paraId="7604AAB7" w14:textId="77777777" w:rsidR="00CB4EBF" w:rsidRPr="00B723CC" w:rsidRDefault="00CB4EBF" w:rsidP="00CB4EBF">
      <w:pPr>
        <w:pStyle w:val="ListParagraph"/>
        <w:numPr>
          <w:ilvl w:val="0"/>
          <w:numId w:val="21"/>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Potrebno je osigurati održivost zajedničkih obrazovnih aktivnosti davanjem prioriteta intervencijama kojima se ostvaruju nove usluge na temelju ishoda prethodnih zajedničkih razvoja;</w:t>
      </w:r>
    </w:p>
    <w:p w14:paraId="2C1617E8" w14:textId="77777777" w:rsidR="00CB4EBF" w:rsidRPr="00B723CC" w:rsidRDefault="00CB4EBF" w:rsidP="00CB4EBF">
      <w:pPr>
        <w:pStyle w:val="ListParagraph"/>
        <w:numPr>
          <w:ilvl w:val="0"/>
          <w:numId w:val="21"/>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Uključenost marginaliziranih skupina ili pojedinaca;</w:t>
      </w:r>
    </w:p>
    <w:p w14:paraId="669FE8A2" w14:textId="77777777" w:rsidR="00CB4EBF" w:rsidRPr="00B723CC" w:rsidRDefault="00CB4EBF" w:rsidP="00CB4EBF">
      <w:pPr>
        <w:pStyle w:val="ListParagraph"/>
        <w:numPr>
          <w:ilvl w:val="0"/>
          <w:numId w:val="21"/>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Jednake mogućnosti i rodna ravnopravnost;</w:t>
      </w:r>
    </w:p>
    <w:p w14:paraId="1FAC8863" w14:textId="77777777" w:rsidR="00CB4EBF" w:rsidRPr="00B723CC" w:rsidRDefault="00CB4EBF" w:rsidP="00CB4EBF">
      <w:pPr>
        <w:pStyle w:val="ListParagraph"/>
        <w:numPr>
          <w:ilvl w:val="0"/>
          <w:numId w:val="21"/>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Pozitivan doprinos ublažavanju klimatskih promjena i očuvanju okoliša;</w:t>
      </w:r>
    </w:p>
    <w:p w14:paraId="38F90945" w14:textId="77777777" w:rsidR="00CB4EBF" w:rsidRPr="00B723CC" w:rsidRDefault="00CB4EBF" w:rsidP="00CB4EBF">
      <w:pPr>
        <w:pStyle w:val="ListParagraph"/>
        <w:numPr>
          <w:ilvl w:val="0"/>
          <w:numId w:val="21"/>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Uravnoteženo sudjelovanje hrvatskih i mađarskih sudionika;</w:t>
      </w:r>
    </w:p>
    <w:p w14:paraId="44E56499" w14:textId="77777777" w:rsidR="00CB4EBF" w:rsidRPr="00B723CC" w:rsidRDefault="00CB4EBF" w:rsidP="00CB4EBF">
      <w:pPr>
        <w:pStyle w:val="ListParagraph"/>
        <w:numPr>
          <w:ilvl w:val="0"/>
          <w:numId w:val="21"/>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Programska tijela moraju osigurati proporcionalnost komplementarnih „čvrstih” elemenata u zajednički razvijenim i izvedenim projektima.</w:t>
      </w:r>
    </w:p>
    <w:p w14:paraId="2F5114D4" w14:textId="77777777" w:rsidR="00CB4EBF" w:rsidRDefault="00CB4EBF" w:rsidP="00CB4EBF">
      <w:pPr>
        <w:spacing w:after="0" w:line="240" w:lineRule="auto"/>
        <w:jc w:val="both"/>
        <w:rPr>
          <w:rFonts w:eastAsia="Times New Roman" w:cs="Times New Roman"/>
          <w:noProof/>
          <w:color w:val="000000"/>
          <w:sz w:val="20"/>
          <w:szCs w:val="20"/>
        </w:rPr>
      </w:pPr>
    </w:p>
    <w:p w14:paraId="5498DB49" w14:textId="77777777" w:rsidR="00CB4EBF" w:rsidRPr="008326EE" w:rsidRDefault="00CB4EBF" w:rsidP="00CB4EBF">
      <w:pPr>
        <w:spacing w:after="0" w:line="240" w:lineRule="auto"/>
        <w:jc w:val="both"/>
        <w:rPr>
          <w:rFonts w:eastAsia="Times New Roman" w:cs="Times New Roman"/>
          <w:i/>
          <w:noProof/>
          <w:color w:val="000000"/>
          <w:sz w:val="20"/>
          <w:szCs w:val="20"/>
        </w:rPr>
      </w:pPr>
    </w:p>
    <w:p w14:paraId="07216A4C"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r>
        <w:rPr>
          <w:rFonts w:eastAsia="Times New Roman" w:cs="Times New Roman"/>
          <w:b/>
          <w:bCs/>
          <w:noProof/>
          <w:sz w:val="20"/>
          <w:szCs w:val="20"/>
          <w:lang w:val="hr"/>
        </w:rPr>
        <w:t>Pokazatelji</w:t>
      </w:r>
    </w:p>
    <w:p w14:paraId="27F792DE"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i/>
          <w:iCs/>
          <w:noProof/>
          <w:color w:val="000000"/>
          <w:sz w:val="20"/>
          <w:szCs w:val="20"/>
          <w:lang w:val="hr"/>
        </w:rPr>
        <w:t>Upućivanje: članak 17. stavak 3. točka (e) podtočka ii., članak 17. stavak 9. točka (c) podtočka iii.</w:t>
      </w:r>
    </w:p>
    <w:p w14:paraId="5FCA1D65" w14:textId="77777777" w:rsidR="00CB4EBF" w:rsidRPr="001C431F" w:rsidRDefault="00CB4EBF" w:rsidP="00CB4EBF">
      <w:pPr>
        <w:spacing w:after="0" w:line="240" w:lineRule="auto"/>
        <w:rPr>
          <w:rFonts w:eastAsia="Times New Roman" w:cs="Times New Roman"/>
          <w:iCs/>
          <w:noProof/>
          <w:sz w:val="20"/>
          <w:szCs w:val="20"/>
        </w:rPr>
      </w:pPr>
      <w:r>
        <w:rPr>
          <w:rFonts w:eastAsia="Times New Roman" w:cs="Times New Roman"/>
          <w:noProof/>
          <w:sz w:val="20"/>
          <w:szCs w:val="20"/>
          <w:lang w:val="hr"/>
        </w:rPr>
        <w:t>Tablica 2.: Pokazatelji ostvarenja</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1050"/>
        <w:gridCol w:w="883"/>
        <w:gridCol w:w="2451"/>
        <w:gridCol w:w="1261"/>
        <w:gridCol w:w="1240"/>
        <w:gridCol w:w="1498"/>
      </w:tblGrid>
      <w:tr w:rsidR="00CB4EBF" w:rsidRPr="00A23750" w14:paraId="4D6636D3" w14:textId="77777777" w:rsidTr="0054762C">
        <w:trPr>
          <w:trHeight w:val="836"/>
        </w:trPr>
        <w:tc>
          <w:tcPr>
            <w:tcW w:w="453" w:type="pct"/>
          </w:tcPr>
          <w:p w14:paraId="67D6A838"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 xml:space="preserve">Prioritet </w:t>
            </w:r>
          </w:p>
        </w:tc>
        <w:tc>
          <w:tcPr>
            <w:tcW w:w="474" w:type="pct"/>
          </w:tcPr>
          <w:p w14:paraId="31006834"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Specifični cilj</w:t>
            </w:r>
          </w:p>
        </w:tc>
        <w:tc>
          <w:tcPr>
            <w:tcW w:w="438" w:type="pct"/>
          </w:tcPr>
          <w:p w14:paraId="77AA5007"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Oznaka</w:t>
            </w:r>
          </w:p>
          <w:p w14:paraId="5BCD2523"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[5]</w:t>
            </w:r>
          </w:p>
        </w:tc>
        <w:tc>
          <w:tcPr>
            <w:tcW w:w="1358" w:type="pct"/>
            <w:shd w:val="clear" w:color="auto" w:fill="auto"/>
          </w:tcPr>
          <w:p w14:paraId="68168EA6"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 xml:space="preserve">Pokazatelj </w:t>
            </w:r>
          </w:p>
        </w:tc>
        <w:tc>
          <w:tcPr>
            <w:tcW w:w="714" w:type="pct"/>
          </w:tcPr>
          <w:p w14:paraId="446B5577"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Mjerna jedinica</w:t>
            </w:r>
          </w:p>
          <w:p w14:paraId="64BA83EE"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[255]</w:t>
            </w:r>
          </w:p>
        </w:tc>
        <w:tc>
          <w:tcPr>
            <w:tcW w:w="716" w:type="pct"/>
            <w:shd w:val="clear" w:color="auto" w:fill="auto"/>
          </w:tcPr>
          <w:p w14:paraId="62642929"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Ključna etapa (2024.)</w:t>
            </w:r>
          </w:p>
          <w:p w14:paraId="378BF2B8"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[200]</w:t>
            </w:r>
          </w:p>
        </w:tc>
        <w:tc>
          <w:tcPr>
            <w:tcW w:w="847" w:type="pct"/>
            <w:shd w:val="clear" w:color="auto" w:fill="auto"/>
          </w:tcPr>
          <w:p w14:paraId="0EEB5B1B"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Konačna ciljna vrijednost (2029.)</w:t>
            </w:r>
          </w:p>
          <w:p w14:paraId="7612E19D"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[200]</w:t>
            </w:r>
          </w:p>
        </w:tc>
      </w:tr>
      <w:tr w:rsidR="00CB4EBF" w:rsidRPr="00A23750" w14:paraId="782F78F9" w14:textId="77777777" w:rsidTr="0054762C">
        <w:trPr>
          <w:trHeight w:val="579"/>
        </w:trPr>
        <w:tc>
          <w:tcPr>
            <w:tcW w:w="453" w:type="pct"/>
          </w:tcPr>
          <w:p w14:paraId="655220FB" w14:textId="77777777" w:rsidR="00CB4EBF" w:rsidRPr="001C431F" w:rsidRDefault="00CB4EBF" w:rsidP="0054762C">
            <w:pPr>
              <w:spacing w:after="0" w:line="240" w:lineRule="auto"/>
              <w:jc w:val="center"/>
              <w:rPr>
                <w:rFonts w:cs="Times New Roman"/>
                <w:bCs/>
                <w:iCs/>
                <w:noProof/>
                <w:sz w:val="20"/>
                <w:szCs w:val="20"/>
              </w:rPr>
            </w:pPr>
            <w:r>
              <w:rPr>
                <w:rFonts w:cs="Times New Roman"/>
                <w:noProof/>
                <w:sz w:val="20"/>
                <w:szCs w:val="20"/>
                <w:lang w:val="hr"/>
              </w:rPr>
              <w:t>3</w:t>
            </w:r>
          </w:p>
        </w:tc>
        <w:tc>
          <w:tcPr>
            <w:tcW w:w="474" w:type="pct"/>
          </w:tcPr>
          <w:p w14:paraId="1AC81F58" w14:textId="77777777" w:rsidR="00CB4EBF" w:rsidRPr="001C431F" w:rsidRDefault="00CB4EBF" w:rsidP="0054762C">
            <w:pPr>
              <w:spacing w:after="0" w:line="240" w:lineRule="auto"/>
              <w:jc w:val="both"/>
              <w:rPr>
                <w:rFonts w:cs="Times New Roman"/>
                <w:bCs/>
                <w:iCs/>
                <w:noProof/>
                <w:sz w:val="20"/>
                <w:szCs w:val="20"/>
              </w:rPr>
            </w:pPr>
            <w:r>
              <w:rPr>
                <w:rFonts w:cs="Times New Roman"/>
                <w:noProof/>
                <w:sz w:val="20"/>
                <w:szCs w:val="20"/>
                <w:lang w:val="hr"/>
              </w:rPr>
              <w:t>SO 4.2</w:t>
            </w:r>
          </w:p>
        </w:tc>
        <w:tc>
          <w:tcPr>
            <w:tcW w:w="438" w:type="pct"/>
          </w:tcPr>
          <w:p w14:paraId="0A672480" w14:textId="77777777" w:rsidR="00CB4EBF" w:rsidRPr="001C431F" w:rsidRDefault="00CB4EBF" w:rsidP="0054762C">
            <w:pPr>
              <w:spacing w:after="0" w:line="240" w:lineRule="auto"/>
              <w:jc w:val="both"/>
              <w:rPr>
                <w:rFonts w:cs="Times New Roman"/>
                <w:bCs/>
                <w:iCs/>
                <w:noProof/>
                <w:sz w:val="20"/>
                <w:szCs w:val="20"/>
              </w:rPr>
            </w:pPr>
            <w:r>
              <w:rPr>
                <w:rFonts w:cs="Times New Roman"/>
                <w:noProof/>
                <w:sz w:val="20"/>
                <w:szCs w:val="20"/>
                <w:lang w:val="hr"/>
              </w:rPr>
              <w:t>RCO 85</w:t>
            </w:r>
          </w:p>
        </w:tc>
        <w:tc>
          <w:tcPr>
            <w:tcW w:w="1358" w:type="pct"/>
            <w:shd w:val="clear" w:color="auto" w:fill="auto"/>
          </w:tcPr>
          <w:p w14:paraId="31EFF873" w14:textId="77777777" w:rsidR="00CB4EBF" w:rsidRPr="001C431F" w:rsidRDefault="00CB4EBF" w:rsidP="0054762C">
            <w:pPr>
              <w:spacing w:after="0" w:line="240" w:lineRule="auto"/>
              <w:rPr>
                <w:rFonts w:cs="Times New Roman"/>
                <w:bCs/>
                <w:iCs/>
                <w:noProof/>
                <w:sz w:val="20"/>
                <w:szCs w:val="20"/>
              </w:rPr>
            </w:pPr>
            <w:r>
              <w:rPr>
                <w:rFonts w:cs="Times New Roman"/>
                <w:noProof/>
                <w:sz w:val="20"/>
                <w:szCs w:val="20"/>
                <w:lang w:val="hr"/>
              </w:rPr>
              <w:t>Sudjelovanja u zajedničkim programima osposobljavanja</w:t>
            </w:r>
          </w:p>
        </w:tc>
        <w:tc>
          <w:tcPr>
            <w:tcW w:w="714" w:type="pct"/>
          </w:tcPr>
          <w:p w14:paraId="5E1B2539" w14:textId="77777777" w:rsidR="00CB4EBF" w:rsidRPr="001C431F" w:rsidRDefault="00CB4EBF" w:rsidP="0054762C">
            <w:pPr>
              <w:spacing w:after="0" w:line="240" w:lineRule="auto"/>
              <w:jc w:val="both"/>
              <w:rPr>
                <w:rFonts w:cs="Times New Roman"/>
                <w:bCs/>
                <w:iCs/>
                <w:noProof/>
                <w:sz w:val="20"/>
                <w:szCs w:val="20"/>
              </w:rPr>
            </w:pPr>
            <w:r>
              <w:rPr>
                <w:rFonts w:cs="Times New Roman"/>
                <w:noProof/>
                <w:sz w:val="20"/>
                <w:szCs w:val="20"/>
                <w:lang w:val="hr"/>
              </w:rPr>
              <w:t>Sudjelovanja</w:t>
            </w:r>
          </w:p>
        </w:tc>
        <w:tc>
          <w:tcPr>
            <w:tcW w:w="716" w:type="pct"/>
            <w:shd w:val="clear" w:color="auto" w:fill="auto"/>
          </w:tcPr>
          <w:p w14:paraId="526FE68E" w14:textId="77777777" w:rsidR="00CB4EBF" w:rsidRPr="001C431F" w:rsidRDefault="00CB4EBF" w:rsidP="0054762C">
            <w:pPr>
              <w:spacing w:after="0" w:line="240" w:lineRule="auto"/>
              <w:jc w:val="center"/>
              <w:rPr>
                <w:rFonts w:cs="Times New Roman"/>
                <w:bCs/>
                <w:iCs/>
                <w:noProof/>
                <w:sz w:val="20"/>
                <w:szCs w:val="20"/>
              </w:rPr>
            </w:pPr>
            <w:r>
              <w:rPr>
                <w:rFonts w:cs="Times New Roman"/>
                <w:noProof/>
                <w:sz w:val="20"/>
                <w:szCs w:val="20"/>
                <w:lang w:val="hr"/>
              </w:rPr>
              <w:t>0</w:t>
            </w:r>
          </w:p>
        </w:tc>
        <w:tc>
          <w:tcPr>
            <w:tcW w:w="847" w:type="pct"/>
            <w:shd w:val="clear" w:color="auto" w:fill="auto"/>
          </w:tcPr>
          <w:p w14:paraId="29ECB02D" w14:textId="77777777" w:rsidR="00CB4EBF" w:rsidRPr="001C431F" w:rsidRDefault="00CB4EBF" w:rsidP="0054762C">
            <w:pPr>
              <w:spacing w:after="0" w:line="240" w:lineRule="auto"/>
              <w:jc w:val="center"/>
              <w:rPr>
                <w:rFonts w:cs="Times New Roman"/>
                <w:bCs/>
                <w:iCs/>
                <w:noProof/>
                <w:sz w:val="20"/>
                <w:szCs w:val="20"/>
              </w:rPr>
            </w:pPr>
            <w:r>
              <w:rPr>
                <w:rFonts w:cs="Times New Roman"/>
                <w:noProof/>
                <w:sz w:val="20"/>
                <w:szCs w:val="20"/>
                <w:lang w:val="hr"/>
              </w:rPr>
              <w:t>380</w:t>
            </w:r>
          </w:p>
        </w:tc>
      </w:tr>
      <w:tr w:rsidR="00CB4EBF" w:rsidRPr="00A23750" w14:paraId="70F271F4" w14:textId="77777777" w:rsidTr="0054762C">
        <w:trPr>
          <w:trHeight w:val="579"/>
        </w:trPr>
        <w:tc>
          <w:tcPr>
            <w:tcW w:w="453" w:type="pct"/>
          </w:tcPr>
          <w:p w14:paraId="5040E55D" w14:textId="77777777" w:rsidR="00CB4EBF" w:rsidRPr="001C431F" w:rsidRDefault="00CB4EBF" w:rsidP="0054762C">
            <w:pPr>
              <w:spacing w:after="0" w:line="240" w:lineRule="auto"/>
              <w:jc w:val="center"/>
              <w:rPr>
                <w:rFonts w:cs="Times New Roman"/>
                <w:bCs/>
                <w:iCs/>
                <w:noProof/>
                <w:sz w:val="20"/>
                <w:szCs w:val="20"/>
              </w:rPr>
            </w:pPr>
            <w:r>
              <w:rPr>
                <w:rFonts w:cs="Times New Roman"/>
                <w:noProof/>
                <w:sz w:val="20"/>
                <w:szCs w:val="20"/>
                <w:lang w:val="hr"/>
              </w:rPr>
              <w:t>3</w:t>
            </w:r>
          </w:p>
        </w:tc>
        <w:tc>
          <w:tcPr>
            <w:tcW w:w="474" w:type="pct"/>
          </w:tcPr>
          <w:p w14:paraId="64ABF2D4" w14:textId="77777777" w:rsidR="00CB4EBF" w:rsidRDefault="00CB4EBF" w:rsidP="0054762C">
            <w:pPr>
              <w:spacing w:after="0" w:line="240" w:lineRule="auto"/>
              <w:jc w:val="both"/>
              <w:rPr>
                <w:rFonts w:cs="Times New Roman"/>
                <w:bCs/>
                <w:iCs/>
                <w:noProof/>
                <w:sz w:val="20"/>
                <w:szCs w:val="20"/>
              </w:rPr>
            </w:pPr>
            <w:r>
              <w:rPr>
                <w:rFonts w:cs="Times New Roman"/>
                <w:noProof/>
                <w:sz w:val="20"/>
                <w:szCs w:val="20"/>
                <w:lang w:val="hr"/>
              </w:rPr>
              <w:t>SO 4.2</w:t>
            </w:r>
          </w:p>
        </w:tc>
        <w:tc>
          <w:tcPr>
            <w:tcW w:w="438" w:type="pct"/>
          </w:tcPr>
          <w:p w14:paraId="338FAB3F" w14:textId="77777777" w:rsidR="00CB4EBF" w:rsidRPr="001C431F" w:rsidRDefault="00CB4EBF" w:rsidP="0054762C">
            <w:pPr>
              <w:spacing w:after="0" w:line="240" w:lineRule="auto"/>
              <w:jc w:val="both"/>
              <w:rPr>
                <w:rFonts w:cs="Times New Roman"/>
                <w:bCs/>
                <w:iCs/>
                <w:noProof/>
                <w:sz w:val="20"/>
                <w:szCs w:val="20"/>
              </w:rPr>
            </w:pPr>
            <w:r>
              <w:rPr>
                <w:rFonts w:cs="Times New Roman"/>
                <w:noProof/>
                <w:sz w:val="20"/>
                <w:szCs w:val="20"/>
                <w:lang w:val="hr"/>
              </w:rPr>
              <w:t>RCO 87</w:t>
            </w:r>
          </w:p>
        </w:tc>
        <w:tc>
          <w:tcPr>
            <w:tcW w:w="1358" w:type="pct"/>
            <w:shd w:val="clear" w:color="auto" w:fill="auto"/>
          </w:tcPr>
          <w:p w14:paraId="29A96FDF" w14:textId="77777777" w:rsidR="00CB4EBF" w:rsidRPr="001C431F" w:rsidRDefault="00CB4EBF" w:rsidP="0054762C">
            <w:pPr>
              <w:spacing w:after="0" w:line="240" w:lineRule="auto"/>
              <w:rPr>
                <w:rFonts w:cs="Times New Roman"/>
                <w:bCs/>
                <w:iCs/>
                <w:noProof/>
                <w:sz w:val="20"/>
                <w:szCs w:val="20"/>
              </w:rPr>
            </w:pPr>
            <w:r>
              <w:rPr>
                <w:rFonts w:cs="Times New Roman"/>
                <w:noProof/>
                <w:sz w:val="20"/>
                <w:szCs w:val="20"/>
                <w:lang w:val="hr"/>
              </w:rPr>
              <w:t>Organizacije koje surađuju preko granica</w:t>
            </w:r>
          </w:p>
        </w:tc>
        <w:tc>
          <w:tcPr>
            <w:tcW w:w="714" w:type="pct"/>
          </w:tcPr>
          <w:p w14:paraId="64358BA3" w14:textId="77777777" w:rsidR="00CB4EBF" w:rsidRPr="001C431F" w:rsidRDefault="00CB4EBF" w:rsidP="0054762C">
            <w:pPr>
              <w:spacing w:after="0" w:line="240" w:lineRule="auto"/>
              <w:jc w:val="both"/>
              <w:rPr>
                <w:rFonts w:cs="Times New Roman"/>
                <w:bCs/>
                <w:iCs/>
                <w:noProof/>
                <w:sz w:val="20"/>
                <w:szCs w:val="20"/>
              </w:rPr>
            </w:pPr>
            <w:r>
              <w:rPr>
                <w:rFonts w:cs="Times New Roman"/>
                <w:noProof/>
                <w:sz w:val="20"/>
                <w:szCs w:val="20"/>
                <w:lang w:val="hr"/>
              </w:rPr>
              <w:t>organizacije</w:t>
            </w:r>
          </w:p>
        </w:tc>
        <w:tc>
          <w:tcPr>
            <w:tcW w:w="716" w:type="pct"/>
            <w:shd w:val="clear" w:color="auto" w:fill="auto"/>
          </w:tcPr>
          <w:p w14:paraId="753ACCF2" w14:textId="77777777" w:rsidR="00CB4EBF" w:rsidRPr="001C431F" w:rsidRDefault="00CB4EBF" w:rsidP="0054762C">
            <w:pPr>
              <w:spacing w:after="0" w:line="240" w:lineRule="auto"/>
              <w:jc w:val="center"/>
              <w:rPr>
                <w:rFonts w:cs="Times New Roman"/>
                <w:bCs/>
                <w:iCs/>
                <w:noProof/>
                <w:sz w:val="20"/>
                <w:szCs w:val="20"/>
              </w:rPr>
            </w:pPr>
            <w:r>
              <w:rPr>
                <w:rFonts w:cs="Times New Roman"/>
                <w:noProof/>
                <w:sz w:val="20"/>
                <w:szCs w:val="20"/>
                <w:lang w:val="hr"/>
              </w:rPr>
              <w:t>0</w:t>
            </w:r>
          </w:p>
        </w:tc>
        <w:tc>
          <w:tcPr>
            <w:tcW w:w="847" w:type="pct"/>
            <w:shd w:val="clear" w:color="auto" w:fill="auto"/>
          </w:tcPr>
          <w:p w14:paraId="6BD54CDC" w14:textId="77777777" w:rsidR="00CB4EBF" w:rsidRPr="001C431F" w:rsidRDefault="00CB4EBF" w:rsidP="0054762C">
            <w:pPr>
              <w:spacing w:after="0" w:line="240" w:lineRule="auto"/>
              <w:jc w:val="center"/>
              <w:rPr>
                <w:rFonts w:cs="Times New Roman"/>
                <w:bCs/>
                <w:iCs/>
                <w:noProof/>
                <w:sz w:val="20"/>
                <w:szCs w:val="20"/>
              </w:rPr>
            </w:pPr>
            <w:r>
              <w:rPr>
                <w:rFonts w:cs="Times New Roman"/>
                <w:noProof/>
                <w:sz w:val="20"/>
                <w:szCs w:val="20"/>
                <w:lang w:val="hr"/>
              </w:rPr>
              <w:t>31</w:t>
            </w:r>
          </w:p>
        </w:tc>
      </w:tr>
    </w:tbl>
    <w:p w14:paraId="200A9C59" w14:textId="77777777" w:rsidR="00CB4EBF" w:rsidRPr="001C431F" w:rsidRDefault="00CB4EBF" w:rsidP="00CB4EBF">
      <w:pPr>
        <w:spacing w:after="0" w:line="240" w:lineRule="auto"/>
        <w:rPr>
          <w:rFonts w:eastAsia="Times New Roman" w:cs="Times New Roman"/>
          <w:iCs/>
          <w:noProof/>
          <w:sz w:val="20"/>
          <w:szCs w:val="20"/>
        </w:rPr>
      </w:pPr>
    </w:p>
    <w:p w14:paraId="521CBBCD" w14:textId="77777777" w:rsidR="00CB4EBF" w:rsidRPr="001C431F" w:rsidRDefault="00CB4EBF" w:rsidP="00CB4EBF">
      <w:pPr>
        <w:spacing w:after="0" w:line="240" w:lineRule="auto"/>
        <w:rPr>
          <w:rFonts w:eastAsia="Times New Roman" w:cs="Times New Roman"/>
          <w:iCs/>
          <w:noProof/>
          <w:sz w:val="20"/>
          <w:szCs w:val="20"/>
        </w:rPr>
      </w:pPr>
      <w:r>
        <w:rPr>
          <w:rFonts w:eastAsia="Times New Roman" w:cs="Times New Roman"/>
          <w:noProof/>
          <w:sz w:val="20"/>
          <w:szCs w:val="20"/>
          <w:lang w:val="hr"/>
        </w:rPr>
        <w:t>Tablica 3.: Pokazatelji rezultata</w:t>
      </w:r>
    </w:p>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1050"/>
        <w:gridCol w:w="883"/>
        <w:gridCol w:w="1505"/>
        <w:gridCol w:w="1238"/>
        <w:gridCol w:w="1083"/>
        <w:gridCol w:w="1172"/>
        <w:gridCol w:w="1083"/>
        <w:gridCol w:w="1261"/>
        <w:gridCol w:w="1128"/>
      </w:tblGrid>
      <w:tr w:rsidR="00CB4EBF" w:rsidRPr="00A23750" w14:paraId="1802B0CF" w14:textId="77777777" w:rsidTr="0054762C">
        <w:trPr>
          <w:trHeight w:val="947"/>
        </w:trPr>
        <w:tc>
          <w:tcPr>
            <w:tcW w:w="457" w:type="pct"/>
          </w:tcPr>
          <w:p w14:paraId="335D8D87"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 xml:space="preserve">Prioritet </w:t>
            </w:r>
          </w:p>
        </w:tc>
        <w:tc>
          <w:tcPr>
            <w:tcW w:w="479" w:type="pct"/>
          </w:tcPr>
          <w:p w14:paraId="270B36A8"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Specifični cilj</w:t>
            </w:r>
          </w:p>
        </w:tc>
        <w:tc>
          <w:tcPr>
            <w:tcW w:w="429" w:type="pct"/>
          </w:tcPr>
          <w:p w14:paraId="743C90DD"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Oznaka</w:t>
            </w:r>
          </w:p>
        </w:tc>
        <w:tc>
          <w:tcPr>
            <w:tcW w:w="557" w:type="pct"/>
            <w:shd w:val="clear" w:color="auto" w:fill="auto"/>
          </w:tcPr>
          <w:p w14:paraId="528E5336"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 xml:space="preserve">Pokazatelj </w:t>
            </w:r>
          </w:p>
        </w:tc>
        <w:tc>
          <w:tcPr>
            <w:tcW w:w="636" w:type="pct"/>
          </w:tcPr>
          <w:p w14:paraId="391B323B"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Mjerna jedinica</w:t>
            </w:r>
          </w:p>
        </w:tc>
        <w:tc>
          <w:tcPr>
            <w:tcW w:w="477" w:type="pct"/>
          </w:tcPr>
          <w:p w14:paraId="6362E5B0"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Osnovna vrijednost</w:t>
            </w:r>
          </w:p>
        </w:tc>
        <w:tc>
          <w:tcPr>
            <w:tcW w:w="557" w:type="pct"/>
          </w:tcPr>
          <w:p w14:paraId="64126C20"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Referentna godina</w:t>
            </w:r>
          </w:p>
        </w:tc>
        <w:tc>
          <w:tcPr>
            <w:tcW w:w="477" w:type="pct"/>
            <w:shd w:val="clear" w:color="auto" w:fill="auto"/>
          </w:tcPr>
          <w:p w14:paraId="31CAE3A3"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Konačna ciljna vrijednost (2029.)</w:t>
            </w:r>
          </w:p>
        </w:tc>
        <w:tc>
          <w:tcPr>
            <w:tcW w:w="396" w:type="pct"/>
            <w:shd w:val="clear" w:color="auto" w:fill="auto"/>
          </w:tcPr>
          <w:p w14:paraId="4F8BC027"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Izvor podataka</w:t>
            </w:r>
          </w:p>
        </w:tc>
        <w:tc>
          <w:tcPr>
            <w:tcW w:w="535" w:type="pct"/>
          </w:tcPr>
          <w:p w14:paraId="3F576D23" w14:textId="77777777" w:rsidR="00CB4EBF" w:rsidRPr="001C431F" w:rsidRDefault="00CB4EBF" w:rsidP="0054762C">
            <w:pPr>
              <w:spacing w:after="0" w:line="480" w:lineRule="auto"/>
              <w:jc w:val="both"/>
              <w:rPr>
                <w:rFonts w:cs="Times New Roman"/>
                <w:b/>
                <w:noProof/>
                <w:sz w:val="20"/>
                <w:szCs w:val="20"/>
              </w:rPr>
            </w:pPr>
            <w:r>
              <w:rPr>
                <w:rFonts w:cs="Times New Roman"/>
                <w:b/>
                <w:bCs/>
                <w:noProof/>
                <w:sz w:val="20"/>
                <w:szCs w:val="20"/>
                <w:lang w:val="hr"/>
              </w:rPr>
              <w:t>Napomene</w:t>
            </w:r>
          </w:p>
        </w:tc>
      </w:tr>
      <w:tr w:rsidR="00CB4EBF" w:rsidRPr="00A23750" w14:paraId="6EA85111" w14:textId="77777777" w:rsidTr="0054762C">
        <w:trPr>
          <w:trHeight w:val="629"/>
        </w:trPr>
        <w:tc>
          <w:tcPr>
            <w:tcW w:w="457" w:type="pct"/>
          </w:tcPr>
          <w:p w14:paraId="3A45A78D" w14:textId="77777777" w:rsidR="00CB4EBF" w:rsidRPr="001C431F" w:rsidRDefault="00CB4EBF" w:rsidP="0054762C">
            <w:pPr>
              <w:spacing w:after="0" w:line="240" w:lineRule="auto"/>
              <w:jc w:val="center"/>
              <w:rPr>
                <w:rFonts w:cs="Times New Roman"/>
                <w:bCs/>
                <w:iCs/>
                <w:noProof/>
                <w:sz w:val="20"/>
                <w:szCs w:val="20"/>
              </w:rPr>
            </w:pPr>
            <w:r>
              <w:rPr>
                <w:rFonts w:cs="Times New Roman"/>
                <w:noProof/>
                <w:sz w:val="20"/>
                <w:szCs w:val="20"/>
                <w:lang w:val="hr"/>
              </w:rPr>
              <w:t>3</w:t>
            </w:r>
          </w:p>
        </w:tc>
        <w:tc>
          <w:tcPr>
            <w:tcW w:w="479" w:type="pct"/>
          </w:tcPr>
          <w:p w14:paraId="1D39A876" w14:textId="77777777" w:rsidR="00CB4EBF" w:rsidRPr="001C431F" w:rsidRDefault="00CB4EBF" w:rsidP="0054762C">
            <w:pPr>
              <w:spacing w:after="0" w:line="240" w:lineRule="auto"/>
              <w:jc w:val="both"/>
              <w:rPr>
                <w:rFonts w:cs="Times New Roman"/>
                <w:bCs/>
                <w:iCs/>
                <w:noProof/>
                <w:sz w:val="20"/>
                <w:szCs w:val="20"/>
              </w:rPr>
            </w:pPr>
            <w:r>
              <w:rPr>
                <w:rFonts w:cs="Times New Roman"/>
                <w:noProof/>
                <w:sz w:val="20"/>
                <w:szCs w:val="20"/>
                <w:lang w:val="hr"/>
              </w:rPr>
              <w:t>SO 4.2</w:t>
            </w:r>
          </w:p>
        </w:tc>
        <w:tc>
          <w:tcPr>
            <w:tcW w:w="429" w:type="pct"/>
          </w:tcPr>
          <w:p w14:paraId="48008159" w14:textId="77777777" w:rsidR="00CB4EBF" w:rsidRPr="001C431F" w:rsidRDefault="00CB4EBF" w:rsidP="0054762C">
            <w:pPr>
              <w:spacing w:after="0" w:line="240" w:lineRule="auto"/>
              <w:jc w:val="both"/>
              <w:rPr>
                <w:rFonts w:cs="Times New Roman"/>
                <w:bCs/>
                <w:iCs/>
                <w:noProof/>
                <w:sz w:val="20"/>
                <w:szCs w:val="20"/>
              </w:rPr>
            </w:pPr>
            <w:r>
              <w:rPr>
                <w:rFonts w:cs="Times New Roman"/>
                <w:noProof/>
                <w:sz w:val="20"/>
                <w:szCs w:val="20"/>
                <w:lang w:val="hr"/>
              </w:rPr>
              <w:t>RCR 81</w:t>
            </w:r>
          </w:p>
        </w:tc>
        <w:tc>
          <w:tcPr>
            <w:tcW w:w="557" w:type="pct"/>
            <w:shd w:val="clear" w:color="auto" w:fill="auto"/>
          </w:tcPr>
          <w:p w14:paraId="566EFBF0" w14:textId="77777777" w:rsidR="00CB4EBF" w:rsidRPr="001C431F" w:rsidRDefault="00CB4EBF" w:rsidP="0054762C">
            <w:pPr>
              <w:spacing w:after="0" w:line="240" w:lineRule="auto"/>
              <w:rPr>
                <w:rFonts w:cs="Times New Roman"/>
                <w:bCs/>
                <w:iCs/>
                <w:noProof/>
                <w:sz w:val="20"/>
                <w:szCs w:val="20"/>
              </w:rPr>
            </w:pPr>
            <w:r>
              <w:rPr>
                <w:rFonts w:cs="Times New Roman"/>
                <w:noProof/>
                <w:sz w:val="20"/>
                <w:szCs w:val="20"/>
                <w:lang w:val="hr"/>
              </w:rPr>
              <w:t>Završeni zajednički programi osposobljavanja</w:t>
            </w:r>
          </w:p>
        </w:tc>
        <w:tc>
          <w:tcPr>
            <w:tcW w:w="636" w:type="pct"/>
          </w:tcPr>
          <w:p w14:paraId="7AC40066" w14:textId="77777777" w:rsidR="00CB4EBF" w:rsidRPr="001C431F" w:rsidRDefault="00CB4EBF" w:rsidP="0054762C">
            <w:pPr>
              <w:spacing w:after="0" w:line="240" w:lineRule="auto"/>
              <w:jc w:val="both"/>
              <w:rPr>
                <w:rFonts w:cs="Times New Roman"/>
                <w:bCs/>
                <w:iCs/>
                <w:noProof/>
                <w:sz w:val="20"/>
                <w:szCs w:val="20"/>
              </w:rPr>
            </w:pPr>
            <w:r>
              <w:rPr>
                <w:rFonts w:cs="Times New Roman"/>
                <w:noProof/>
                <w:sz w:val="20"/>
                <w:szCs w:val="20"/>
                <w:lang w:val="hr"/>
              </w:rPr>
              <w:t>Sudionici</w:t>
            </w:r>
          </w:p>
        </w:tc>
        <w:tc>
          <w:tcPr>
            <w:tcW w:w="477" w:type="pct"/>
          </w:tcPr>
          <w:p w14:paraId="4C503D91" w14:textId="77777777" w:rsidR="00CB4EBF" w:rsidRPr="001C431F" w:rsidRDefault="00CB4EBF" w:rsidP="0054762C">
            <w:pPr>
              <w:spacing w:after="0" w:line="240" w:lineRule="auto"/>
              <w:jc w:val="center"/>
              <w:rPr>
                <w:rFonts w:cs="Times New Roman"/>
                <w:bCs/>
                <w:iCs/>
                <w:noProof/>
                <w:sz w:val="20"/>
                <w:szCs w:val="20"/>
              </w:rPr>
            </w:pPr>
            <w:r>
              <w:rPr>
                <w:rFonts w:cs="Times New Roman"/>
                <w:noProof/>
                <w:sz w:val="20"/>
                <w:szCs w:val="20"/>
                <w:lang w:val="hr"/>
              </w:rPr>
              <w:t>0</w:t>
            </w:r>
          </w:p>
        </w:tc>
        <w:tc>
          <w:tcPr>
            <w:tcW w:w="557" w:type="pct"/>
          </w:tcPr>
          <w:p w14:paraId="3D56CEE6" w14:textId="77777777" w:rsidR="00CB4EBF" w:rsidRPr="001C431F" w:rsidRDefault="00CB4EBF" w:rsidP="0054762C">
            <w:pPr>
              <w:spacing w:after="0" w:line="240" w:lineRule="auto"/>
              <w:jc w:val="center"/>
              <w:rPr>
                <w:rFonts w:cs="Times New Roman"/>
                <w:bCs/>
                <w:iCs/>
                <w:noProof/>
                <w:sz w:val="20"/>
                <w:szCs w:val="20"/>
              </w:rPr>
            </w:pPr>
            <w:r>
              <w:rPr>
                <w:rFonts w:cs="Times New Roman"/>
                <w:noProof/>
                <w:sz w:val="20"/>
                <w:szCs w:val="20"/>
                <w:lang w:val="hr"/>
              </w:rPr>
              <w:t>2021.</w:t>
            </w:r>
          </w:p>
        </w:tc>
        <w:tc>
          <w:tcPr>
            <w:tcW w:w="477" w:type="pct"/>
            <w:shd w:val="clear" w:color="auto" w:fill="auto"/>
          </w:tcPr>
          <w:p w14:paraId="464C249F" w14:textId="77777777" w:rsidR="00CB4EBF" w:rsidRPr="001C431F" w:rsidRDefault="00CB4EBF" w:rsidP="0054762C">
            <w:pPr>
              <w:spacing w:after="0" w:line="240" w:lineRule="auto"/>
              <w:jc w:val="center"/>
              <w:rPr>
                <w:rFonts w:cs="Times New Roman"/>
                <w:bCs/>
                <w:iCs/>
                <w:noProof/>
                <w:sz w:val="20"/>
                <w:szCs w:val="20"/>
              </w:rPr>
            </w:pPr>
            <w:r>
              <w:rPr>
                <w:rFonts w:cs="Times New Roman"/>
                <w:noProof/>
                <w:sz w:val="20"/>
                <w:szCs w:val="20"/>
                <w:lang w:val="hr"/>
              </w:rPr>
              <w:t>300</w:t>
            </w:r>
          </w:p>
        </w:tc>
        <w:tc>
          <w:tcPr>
            <w:tcW w:w="396" w:type="pct"/>
            <w:shd w:val="clear" w:color="auto" w:fill="auto"/>
          </w:tcPr>
          <w:p w14:paraId="7225C425" w14:textId="77777777" w:rsidR="00CB4EBF" w:rsidRPr="001C431F" w:rsidRDefault="00CB4EBF" w:rsidP="0054762C">
            <w:pPr>
              <w:spacing w:after="0" w:line="240" w:lineRule="auto"/>
              <w:rPr>
                <w:rFonts w:cs="Times New Roman"/>
                <w:bCs/>
                <w:iCs/>
                <w:noProof/>
                <w:sz w:val="20"/>
                <w:szCs w:val="20"/>
              </w:rPr>
            </w:pPr>
            <w:r>
              <w:rPr>
                <w:rFonts w:cs="Times New Roman"/>
                <w:noProof/>
                <w:sz w:val="20"/>
                <w:szCs w:val="20"/>
                <w:lang w:val="hr"/>
              </w:rPr>
              <w:t>Sustav praćenja upravljačkog tijela</w:t>
            </w:r>
          </w:p>
        </w:tc>
        <w:tc>
          <w:tcPr>
            <w:tcW w:w="535" w:type="pct"/>
          </w:tcPr>
          <w:p w14:paraId="2DE2BE39" w14:textId="77777777" w:rsidR="00CB4EBF" w:rsidRPr="001C431F" w:rsidRDefault="00CB4EBF" w:rsidP="0054762C">
            <w:pPr>
              <w:spacing w:after="0"/>
              <w:rPr>
                <w:rFonts w:cs="Times New Roman"/>
                <w:bCs/>
                <w:iCs/>
                <w:noProof/>
                <w:sz w:val="20"/>
                <w:szCs w:val="20"/>
              </w:rPr>
            </w:pPr>
          </w:p>
        </w:tc>
      </w:tr>
      <w:tr w:rsidR="00CB4EBF" w:rsidRPr="00A23750" w14:paraId="188A01E8" w14:textId="77777777" w:rsidTr="0054762C">
        <w:trPr>
          <w:trHeight w:val="629"/>
        </w:trPr>
        <w:tc>
          <w:tcPr>
            <w:tcW w:w="457" w:type="pct"/>
          </w:tcPr>
          <w:p w14:paraId="4A3AFA80" w14:textId="77777777" w:rsidR="00CB4EBF" w:rsidRPr="001C431F" w:rsidRDefault="00CB4EBF" w:rsidP="0054762C">
            <w:pPr>
              <w:spacing w:after="0" w:line="240" w:lineRule="auto"/>
              <w:jc w:val="center"/>
              <w:rPr>
                <w:rFonts w:cs="Times New Roman"/>
                <w:bCs/>
                <w:iCs/>
                <w:noProof/>
                <w:sz w:val="20"/>
                <w:szCs w:val="20"/>
              </w:rPr>
            </w:pPr>
            <w:r>
              <w:rPr>
                <w:rFonts w:cs="Times New Roman"/>
                <w:noProof/>
                <w:sz w:val="20"/>
                <w:szCs w:val="20"/>
                <w:lang w:val="hr"/>
              </w:rPr>
              <w:lastRenderedPageBreak/>
              <w:t>3</w:t>
            </w:r>
          </w:p>
        </w:tc>
        <w:tc>
          <w:tcPr>
            <w:tcW w:w="479" w:type="pct"/>
          </w:tcPr>
          <w:p w14:paraId="53A8EE1F" w14:textId="77777777" w:rsidR="00CB4EBF" w:rsidRDefault="00CB4EBF" w:rsidP="0054762C">
            <w:pPr>
              <w:spacing w:after="0" w:line="240" w:lineRule="auto"/>
              <w:jc w:val="both"/>
              <w:rPr>
                <w:rFonts w:cs="Times New Roman"/>
                <w:bCs/>
                <w:iCs/>
                <w:noProof/>
                <w:sz w:val="20"/>
                <w:szCs w:val="20"/>
              </w:rPr>
            </w:pPr>
            <w:r>
              <w:rPr>
                <w:rFonts w:cs="Times New Roman"/>
                <w:noProof/>
                <w:sz w:val="20"/>
                <w:szCs w:val="20"/>
                <w:lang w:val="hr"/>
              </w:rPr>
              <w:t>SO 4.2</w:t>
            </w:r>
          </w:p>
        </w:tc>
        <w:tc>
          <w:tcPr>
            <w:tcW w:w="429" w:type="pct"/>
          </w:tcPr>
          <w:p w14:paraId="12C3EB23" w14:textId="77777777" w:rsidR="00CB4EBF" w:rsidRPr="001C431F" w:rsidRDefault="00CB4EBF" w:rsidP="0054762C">
            <w:pPr>
              <w:spacing w:after="0" w:line="240" w:lineRule="auto"/>
              <w:jc w:val="both"/>
              <w:rPr>
                <w:rFonts w:cs="Times New Roman"/>
                <w:bCs/>
                <w:iCs/>
                <w:noProof/>
                <w:sz w:val="20"/>
                <w:szCs w:val="20"/>
              </w:rPr>
            </w:pPr>
            <w:r>
              <w:rPr>
                <w:rFonts w:cs="Times New Roman"/>
                <w:noProof/>
                <w:sz w:val="20"/>
                <w:szCs w:val="20"/>
                <w:lang w:val="hr"/>
              </w:rPr>
              <w:t>RCR 84</w:t>
            </w:r>
          </w:p>
        </w:tc>
        <w:tc>
          <w:tcPr>
            <w:tcW w:w="557" w:type="pct"/>
            <w:shd w:val="clear" w:color="auto" w:fill="auto"/>
          </w:tcPr>
          <w:p w14:paraId="01206952" w14:textId="77777777" w:rsidR="00CB4EBF" w:rsidRPr="001C431F" w:rsidRDefault="00CB4EBF" w:rsidP="0054762C">
            <w:pPr>
              <w:spacing w:after="0" w:line="240" w:lineRule="auto"/>
              <w:rPr>
                <w:rFonts w:cs="Times New Roman"/>
                <w:bCs/>
                <w:iCs/>
                <w:noProof/>
                <w:sz w:val="20"/>
                <w:szCs w:val="20"/>
              </w:rPr>
            </w:pPr>
            <w:r>
              <w:rPr>
                <w:rFonts w:cs="Times New Roman"/>
                <w:noProof/>
                <w:sz w:val="20"/>
                <w:szCs w:val="20"/>
                <w:lang w:val="hr"/>
              </w:rPr>
              <w:t>Organizacije koje surađuju preko granica nakon okončanja projekta</w:t>
            </w:r>
          </w:p>
        </w:tc>
        <w:tc>
          <w:tcPr>
            <w:tcW w:w="636" w:type="pct"/>
          </w:tcPr>
          <w:p w14:paraId="53752CD4" w14:textId="77777777" w:rsidR="00CB4EBF" w:rsidRPr="001C431F" w:rsidRDefault="00CB4EBF" w:rsidP="0054762C">
            <w:pPr>
              <w:spacing w:after="0" w:line="240" w:lineRule="auto"/>
              <w:jc w:val="both"/>
              <w:rPr>
                <w:rFonts w:cs="Times New Roman"/>
                <w:bCs/>
                <w:iCs/>
                <w:noProof/>
                <w:sz w:val="20"/>
                <w:szCs w:val="20"/>
              </w:rPr>
            </w:pPr>
            <w:r>
              <w:rPr>
                <w:rFonts w:cs="Times New Roman"/>
                <w:noProof/>
                <w:sz w:val="20"/>
                <w:szCs w:val="20"/>
                <w:lang w:val="hr"/>
              </w:rPr>
              <w:t>Organizacije</w:t>
            </w:r>
          </w:p>
        </w:tc>
        <w:tc>
          <w:tcPr>
            <w:tcW w:w="477" w:type="pct"/>
          </w:tcPr>
          <w:p w14:paraId="5145AA24" w14:textId="77777777" w:rsidR="00CB4EBF" w:rsidRPr="001C431F" w:rsidRDefault="00CB4EBF" w:rsidP="0054762C">
            <w:pPr>
              <w:spacing w:after="0" w:line="240" w:lineRule="auto"/>
              <w:jc w:val="center"/>
              <w:rPr>
                <w:rFonts w:cs="Times New Roman"/>
                <w:bCs/>
                <w:iCs/>
                <w:noProof/>
                <w:sz w:val="20"/>
                <w:szCs w:val="20"/>
              </w:rPr>
            </w:pPr>
            <w:r>
              <w:rPr>
                <w:rFonts w:cs="Times New Roman"/>
                <w:noProof/>
                <w:sz w:val="20"/>
                <w:szCs w:val="20"/>
                <w:lang w:val="hr"/>
              </w:rPr>
              <w:t>0</w:t>
            </w:r>
          </w:p>
        </w:tc>
        <w:tc>
          <w:tcPr>
            <w:tcW w:w="557" w:type="pct"/>
          </w:tcPr>
          <w:p w14:paraId="789D064F" w14:textId="77777777" w:rsidR="00CB4EBF" w:rsidRPr="001C431F" w:rsidRDefault="00CB4EBF" w:rsidP="0054762C">
            <w:pPr>
              <w:spacing w:after="0" w:line="240" w:lineRule="auto"/>
              <w:jc w:val="center"/>
              <w:rPr>
                <w:rFonts w:cs="Times New Roman"/>
                <w:bCs/>
                <w:iCs/>
                <w:noProof/>
                <w:sz w:val="20"/>
                <w:szCs w:val="20"/>
              </w:rPr>
            </w:pPr>
            <w:r>
              <w:rPr>
                <w:rFonts w:cs="Times New Roman"/>
                <w:noProof/>
                <w:sz w:val="20"/>
                <w:szCs w:val="20"/>
                <w:lang w:val="hr"/>
              </w:rPr>
              <w:t>2021.</w:t>
            </w:r>
          </w:p>
        </w:tc>
        <w:tc>
          <w:tcPr>
            <w:tcW w:w="477" w:type="pct"/>
            <w:shd w:val="clear" w:color="auto" w:fill="auto"/>
          </w:tcPr>
          <w:p w14:paraId="3B07FFBB" w14:textId="77777777" w:rsidR="00CB4EBF" w:rsidRPr="003F5F91" w:rsidDel="004D033D" w:rsidRDefault="00CB4EBF" w:rsidP="0054762C">
            <w:pPr>
              <w:spacing w:after="0" w:line="240" w:lineRule="auto"/>
              <w:jc w:val="center"/>
              <w:rPr>
                <w:rFonts w:cs="Times New Roman"/>
                <w:bCs/>
                <w:iCs/>
                <w:noProof/>
                <w:sz w:val="20"/>
                <w:szCs w:val="20"/>
              </w:rPr>
            </w:pPr>
            <w:r>
              <w:rPr>
                <w:rFonts w:cs="Times New Roman"/>
                <w:noProof/>
                <w:sz w:val="20"/>
                <w:szCs w:val="20"/>
                <w:lang w:val="hr"/>
              </w:rPr>
              <w:t>18</w:t>
            </w:r>
          </w:p>
        </w:tc>
        <w:tc>
          <w:tcPr>
            <w:tcW w:w="396" w:type="pct"/>
            <w:shd w:val="clear" w:color="auto" w:fill="auto"/>
          </w:tcPr>
          <w:p w14:paraId="3CEA8CAA" w14:textId="77777777" w:rsidR="00CB4EBF" w:rsidRPr="001C431F" w:rsidRDefault="00CB4EBF" w:rsidP="0054762C">
            <w:pPr>
              <w:spacing w:after="0" w:line="240" w:lineRule="auto"/>
              <w:rPr>
                <w:rFonts w:cs="Times New Roman"/>
                <w:bCs/>
                <w:iCs/>
                <w:noProof/>
                <w:sz w:val="20"/>
                <w:szCs w:val="20"/>
              </w:rPr>
            </w:pPr>
            <w:r>
              <w:rPr>
                <w:rFonts w:cs="Times New Roman"/>
                <w:noProof/>
                <w:sz w:val="20"/>
                <w:szCs w:val="20"/>
                <w:lang w:val="hr"/>
              </w:rPr>
              <w:t>Sustav praćenja upravljačkog tijela</w:t>
            </w:r>
          </w:p>
        </w:tc>
        <w:tc>
          <w:tcPr>
            <w:tcW w:w="535" w:type="pct"/>
          </w:tcPr>
          <w:p w14:paraId="0D232689" w14:textId="77777777" w:rsidR="00CB4EBF" w:rsidRPr="001C431F" w:rsidRDefault="00CB4EBF" w:rsidP="0054762C">
            <w:pPr>
              <w:spacing w:after="0"/>
              <w:rPr>
                <w:rFonts w:cs="Times New Roman"/>
                <w:bCs/>
                <w:iCs/>
                <w:noProof/>
                <w:sz w:val="20"/>
                <w:szCs w:val="20"/>
              </w:rPr>
            </w:pPr>
          </w:p>
        </w:tc>
      </w:tr>
    </w:tbl>
    <w:p w14:paraId="0177D43D"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p>
    <w:p w14:paraId="6D15C90D"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r>
        <w:rPr>
          <w:rFonts w:eastAsia="Times New Roman" w:cs="Times New Roman"/>
          <w:noProof/>
          <w:sz w:val="20"/>
          <w:szCs w:val="20"/>
          <w:lang w:val="hr"/>
        </w:rPr>
        <w:t>Glavne ciljne skupine</w:t>
      </w:r>
    </w:p>
    <w:p w14:paraId="77CEEDF5"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i/>
          <w:iCs/>
          <w:noProof/>
          <w:color w:val="000000"/>
          <w:sz w:val="20"/>
          <w:szCs w:val="20"/>
          <w:lang w:val="hr"/>
        </w:rPr>
        <w:t>Upućivanje: članak 17. stavak 3. točka (e) podtočka iii., članak 17. stavak 9. točka (c) podtočka iv.</w:t>
      </w:r>
    </w:p>
    <w:p w14:paraId="588BCD82" w14:textId="77777777" w:rsidR="00CB4EBF" w:rsidRPr="001C431F" w:rsidRDefault="00CB4EBF" w:rsidP="00CB4EBF">
      <w:pPr>
        <w:keepNext/>
        <w:spacing w:after="0"/>
        <w:jc w:val="both"/>
        <w:rPr>
          <w:rFonts w:eastAsia="Times New Roman" w:cs="Times New Roman"/>
          <w:iCs/>
          <w:noProof/>
          <w:color w:val="000000"/>
          <w:sz w:val="20"/>
          <w:szCs w:val="20"/>
        </w:rPr>
      </w:pPr>
    </w:p>
    <w:p w14:paraId="0657D7A9" w14:textId="77777777" w:rsidR="00CB4EBF" w:rsidRPr="001C431F" w:rsidRDefault="00CB4EBF" w:rsidP="00CB4EBF">
      <w:pPr>
        <w:keepNext/>
        <w:spacing w:after="0"/>
        <w:jc w:val="both"/>
        <w:rPr>
          <w:rFonts w:eastAsia="Times New Roman" w:cs="Times New Roman"/>
          <w:iCs/>
          <w:noProof/>
          <w:color w:val="000000"/>
          <w:sz w:val="20"/>
          <w:szCs w:val="20"/>
        </w:rPr>
      </w:pPr>
      <w:r>
        <w:rPr>
          <w:rFonts w:eastAsia="Times New Roman" w:cs="Times New Roman"/>
          <w:noProof/>
          <w:color w:val="000000"/>
          <w:sz w:val="20"/>
          <w:szCs w:val="20"/>
          <w:lang w:val="hr"/>
        </w:rPr>
        <w:t>Izravne ciljne skupine (okvirni popis potencijalnih korisnika)</w:t>
      </w:r>
    </w:p>
    <w:p w14:paraId="72F9234B" w14:textId="77777777" w:rsidR="00CB4EBF" w:rsidRPr="00457431" w:rsidRDefault="00CB4EBF" w:rsidP="00CB4EBF">
      <w:pPr>
        <w:pStyle w:val="ListParagraph"/>
        <w:keepNext/>
        <w:numPr>
          <w:ilvl w:val="0"/>
          <w:numId w:val="7"/>
        </w:numPr>
        <w:spacing w:after="0"/>
        <w:jc w:val="both"/>
        <w:rPr>
          <w:rFonts w:eastAsia="Times New Roman" w:cs="Times New Roman"/>
          <w:iCs/>
          <w:noProof/>
          <w:color w:val="000000"/>
          <w:sz w:val="20"/>
          <w:szCs w:val="20"/>
        </w:rPr>
      </w:pPr>
      <w:r>
        <w:rPr>
          <w:rFonts w:eastAsia="Times New Roman" w:cs="Times New Roman"/>
          <w:noProof/>
          <w:color w:val="000000"/>
          <w:sz w:val="20"/>
          <w:szCs w:val="20"/>
          <w:lang w:val="hr"/>
        </w:rPr>
        <w:t>lokalne, regionalne i nacionalne institucije i pružatelji usluga koji se nalaze na programskom području;</w:t>
      </w:r>
    </w:p>
    <w:p w14:paraId="5ACBD73A" w14:textId="77777777" w:rsidR="00CB4EBF" w:rsidRPr="00457431" w:rsidRDefault="00CB4EBF" w:rsidP="00CB4EBF">
      <w:pPr>
        <w:pStyle w:val="ListParagraph"/>
        <w:keepNext/>
        <w:numPr>
          <w:ilvl w:val="0"/>
          <w:numId w:val="7"/>
        </w:numPr>
        <w:spacing w:after="0"/>
        <w:jc w:val="both"/>
        <w:rPr>
          <w:rFonts w:eastAsia="Times New Roman" w:cs="Times New Roman"/>
          <w:iCs/>
          <w:noProof/>
          <w:color w:val="000000"/>
          <w:sz w:val="20"/>
          <w:szCs w:val="20"/>
        </w:rPr>
      </w:pPr>
      <w:r>
        <w:rPr>
          <w:rFonts w:eastAsia="Times New Roman" w:cs="Times New Roman"/>
          <w:noProof/>
          <w:color w:val="000000"/>
          <w:sz w:val="20"/>
          <w:szCs w:val="20"/>
          <w:lang w:val="hr"/>
        </w:rPr>
        <w:t>lokalne i regionalne javne vlasti i njihova poduzeća;</w:t>
      </w:r>
    </w:p>
    <w:p w14:paraId="590CA3F6" w14:textId="77777777" w:rsidR="00CB4EBF" w:rsidRPr="001C431F" w:rsidRDefault="00CB4EBF" w:rsidP="00CB4EBF">
      <w:pPr>
        <w:pStyle w:val="ListParagraph"/>
        <w:keepNext/>
        <w:numPr>
          <w:ilvl w:val="0"/>
          <w:numId w:val="7"/>
        </w:numPr>
        <w:spacing w:after="0"/>
        <w:jc w:val="both"/>
        <w:rPr>
          <w:rFonts w:eastAsia="Times New Roman" w:cs="Times New Roman"/>
          <w:iCs/>
          <w:noProof/>
          <w:color w:val="000000"/>
          <w:sz w:val="20"/>
          <w:szCs w:val="20"/>
        </w:rPr>
      </w:pPr>
      <w:r>
        <w:rPr>
          <w:rFonts w:eastAsia="Times New Roman" w:cs="Times New Roman"/>
          <w:noProof/>
          <w:color w:val="000000"/>
          <w:sz w:val="20"/>
          <w:szCs w:val="20"/>
          <w:lang w:val="hr"/>
        </w:rPr>
        <w:t>obrazovne ustanove, njihove ustanove i njihovi operateri (vrtići, škole, fakulteti, visokoškolski instituti i ustanove za obrazovanje odraslih);</w:t>
      </w:r>
    </w:p>
    <w:p w14:paraId="54FAF0AE" w14:textId="77777777" w:rsidR="00CB4EBF" w:rsidRPr="001C431F" w:rsidRDefault="00CB4EBF" w:rsidP="00CB4EBF">
      <w:pPr>
        <w:pStyle w:val="ListParagraph"/>
        <w:keepNext/>
        <w:numPr>
          <w:ilvl w:val="0"/>
          <w:numId w:val="7"/>
        </w:numPr>
        <w:spacing w:after="0"/>
        <w:jc w:val="both"/>
        <w:rPr>
          <w:rFonts w:eastAsia="Times New Roman" w:cs="Times New Roman"/>
          <w:iCs/>
          <w:noProof/>
          <w:color w:val="000000"/>
          <w:sz w:val="20"/>
          <w:szCs w:val="20"/>
        </w:rPr>
      </w:pPr>
      <w:r>
        <w:rPr>
          <w:rFonts w:eastAsia="Times New Roman" w:cs="Times New Roman"/>
          <w:noProof/>
          <w:color w:val="000000"/>
          <w:sz w:val="20"/>
          <w:szCs w:val="20"/>
          <w:lang w:val="hr"/>
        </w:rPr>
        <w:t>ustanove za stručno osposobljavanje;</w:t>
      </w:r>
    </w:p>
    <w:p w14:paraId="39F014A9" w14:textId="77777777" w:rsidR="00CB4EBF" w:rsidRPr="001C431F" w:rsidRDefault="00CB4EBF" w:rsidP="00CB4EBF">
      <w:pPr>
        <w:pStyle w:val="ListParagraph"/>
        <w:numPr>
          <w:ilvl w:val="0"/>
          <w:numId w:val="7"/>
        </w:numPr>
        <w:spacing w:after="0"/>
        <w:jc w:val="both"/>
        <w:rPr>
          <w:rFonts w:eastAsia="Times New Roman" w:cs="Times New Roman"/>
          <w:iCs/>
          <w:noProof/>
          <w:color w:val="000000"/>
          <w:sz w:val="20"/>
          <w:szCs w:val="20"/>
        </w:rPr>
      </w:pPr>
      <w:r>
        <w:rPr>
          <w:rFonts w:eastAsia="Times New Roman" w:cs="Times New Roman"/>
          <w:noProof/>
          <w:color w:val="000000"/>
          <w:sz w:val="20"/>
          <w:szCs w:val="20"/>
          <w:lang w:val="hr"/>
        </w:rPr>
        <w:t>sveučilišta;</w:t>
      </w:r>
    </w:p>
    <w:p w14:paraId="4A555BE1" w14:textId="77777777" w:rsidR="00CB4EBF" w:rsidRPr="001C431F" w:rsidRDefault="00CB4EBF" w:rsidP="00CB4EBF">
      <w:pPr>
        <w:pStyle w:val="ListParagraph"/>
        <w:numPr>
          <w:ilvl w:val="0"/>
          <w:numId w:val="7"/>
        </w:numPr>
        <w:spacing w:after="0"/>
        <w:jc w:val="both"/>
        <w:rPr>
          <w:rFonts w:eastAsia="Times New Roman" w:cs="Times New Roman"/>
          <w:iCs/>
          <w:noProof/>
          <w:color w:val="000000"/>
          <w:sz w:val="20"/>
          <w:szCs w:val="20"/>
        </w:rPr>
      </w:pPr>
      <w:r>
        <w:rPr>
          <w:rFonts w:eastAsia="Times New Roman" w:cs="Times New Roman"/>
          <w:noProof/>
          <w:color w:val="000000"/>
          <w:sz w:val="20"/>
          <w:szCs w:val="20"/>
          <w:lang w:val="hr"/>
        </w:rPr>
        <w:t>knjižnice;</w:t>
      </w:r>
    </w:p>
    <w:p w14:paraId="47B2A154" w14:textId="77777777" w:rsidR="00CB4EBF" w:rsidRPr="001C431F" w:rsidRDefault="00CB4EBF" w:rsidP="00CB4EBF">
      <w:pPr>
        <w:pStyle w:val="ListParagraph"/>
        <w:numPr>
          <w:ilvl w:val="0"/>
          <w:numId w:val="7"/>
        </w:numPr>
        <w:spacing w:after="0"/>
        <w:jc w:val="both"/>
        <w:rPr>
          <w:rFonts w:eastAsia="Times New Roman" w:cs="Times New Roman"/>
          <w:iCs/>
          <w:noProof/>
          <w:color w:val="000000"/>
          <w:sz w:val="20"/>
          <w:szCs w:val="20"/>
        </w:rPr>
      </w:pPr>
      <w:r>
        <w:rPr>
          <w:rFonts w:eastAsia="Times New Roman" w:cs="Times New Roman"/>
          <w:noProof/>
          <w:color w:val="000000"/>
          <w:sz w:val="20"/>
          <w:szCs w:val="20"/>
          <w:lang w:val="hr"/>
        </w:rPr>
        <w:t>nevladine organizacije;</w:t>
      </w:r>
    </w:p>
    <w:p w14:paraId="2AE3DE25" w14:textId="77777777" w:rsidR="00CB4EBF" w:rsidRPr="001C431F" w:rsidRDefault="00CB4EBF" w:rsidP="00CB4EBF">
      <w:pPr>
        <w:pStyle w:val="ListParagraph"/>
        <w:numPr>
          <w:ilvl w:val="0"/>
          <w:numId w:val="7"/>
        </w:numPr>
        <w:spacing w:after="0"/>
        <w:jc w:val="both"/>
        <w:rPr>
          <w:rFonts w:eastAsia="Times New Roman" w:cs="Times New Roman"/>
          <w:iCs/>
          <w:noProof/>
          <w:color w:val="000000"/>
          <w:sz w:val="20"/>
          <w:szCs w:val="20"/>
        </w:rPr>
      </w:pPr>
      <w:r>
        <w:rPr>
          <w:rFonts w:eastAsia="Times New Roman" w:cs="Times New Roman"/>
          <w:noProof/>
          <w:color w:val="000000"/>
          <w:sz w:val="20"/>
          <w:szCs w:val="20"/>
          <w:lang w:val="hr"/>
        </w:rPr>
        <w:t>razvojne agencije;</w:t>
      </w:r>
    </w:p>
    <w:p w14:paraId="02CE07FD" w14:textId="77777777" w:rsidR="00CB4EBF" w:rsidRDefault="00CB4EBF" w:rsidP="00CB4EBF">
      <w:pPr>
        <w:pStyle w:val="ListParagraph"/>
        <w:numPr>
          <w:ilvl w:val="0"/>
          <w:numId w:val="7"/>
        </w:numPr>
        <w:spacing w:after="0"/>
        <w:jc w:val="both"/>
        <w:rPr>
          <w:rFonts w:eastAsia="Times New Roman" w:cs="Times New Roman"/>
          <w:iCs/>
          <w:noProof/>
          <w:color w:val="000000"/>
          <w:sz w:val="20"/>
          <w:szCs w:val="20"/>
        </w:rPr>
      </w:pPr>
      <w:r>
        <w:rPr>
          <w:rFonts w:eastAsia="Times New Roman" w:cs="Times New Roman"/>
          <w:noProof/>
          <w:color w:val="000000"/>
          <w:sz w:val="20"/>
          <w:szCs w:val="20"/>
          <w:lang w:val="hr"/>
        </w:rPr>
        <w:t>kulturni centri,</w:t>
      </w:r>
    </w:p>
    <w:p w14:paraId="35152085" w14:textId="77777777" w:rsidR="00CB4EBF" w:rsidRDefault="00CB4EBF" w:rsidP="00CB4EBF">
      <w:pPr>
        <w:spacing w:after="0"/>
        <w:jc w:val="both"/>
        <w:rPr>
          <w:rFonts w:eastAsia="Times New Roman" w:cs="Times New Roman"/>
          <w:iCs/>
          <w:noProof/>
          <w:color w:val="000000"/>
          <w:sz w:val="20"/>
          <w:szCs w:val="20"/>
        </w:rPr>
      </w:pPr>
    </w:p>
    <w:p w14:paraId="068D5D39" w14:textId="77777777" w:rsidR="00CB4EBF" w:rsidRPr="001C431F" w:rsidRDefault="00CB4EBF" w:rsidP="00CB4EBF">
      <w:pPr>
        <w:spacing w:after="0"/>
        <w:jc w:val="both"/>
        <w:rPr>
          <w:rFonts w:eastAsia="Times New Roman" w:cs="Times New Roman"/>
          <w:iCs/>
          <w:noProof/>
          <w:color w:val="000000"/>
          <w:sz w:val="20"/>
          <w:szCs w:val="20"/>
        </w:rPr>
      </w:pPr>
      <w:r>
        <w:rPr>
          <w:rFonts w:eastAsia="Times New Roman" w:cs="Times New Roman"/>
          <w:noProof/>
          <w:color w:val="000000"/>
          <w:sz w:val="20"/>
          <w:szCs w:val="20"/>
          <w:lang w:val="hr"/>
        </w:rPr>
        <w:t>Neizravne ciljne skupine:</w:t>
      </w:r>
    </w:p>
    <w:p w14:paraId="783E0216" w14:textId="77777777" w:rsidR="00CB4EBF" w:rsidRPr="001C431F" w:rsidRDefault="00CB4EBF" w:rsidP="00CB4EBF">
      <w:pPr>
        <w:pStyle w:val="ListParagraph"/>
        <w:numPr>
          <w:ilvl w:val="0"/>
          <w:numId w:val="7"/>
        </w:numPr>
        <w:spacing w:after="0"/>
        <w:jc w:val="both"/>
        <w:rPr>
          <w:rFonts w:eastAsia="Times New Roman" w:cs="Times New Roman"/>
          <w:iCs/>
          <w:noProof/>
          <w:color w:val="000000"/>
          <w:sz w:val="20"/>
          <w:szCs w:val="20"/>
        </w:rPr>
      </w:pPr>
      <w:r>
        <w:rPr>
          <w:rFonts w:eastAsia="Times New Roman" w:cs="Times New Roman"/>
          <w:noProof/>
          <w:color w:val="000000"/>
          <w:sz w:val="20"/>
          <w:szCs w:val="20"/>
          <w:lang w:val="hr"/>
        </w:rPr>
        <w:t>djeca, studenti i odrasli koji žive i uče ili studiraju u pograničnom području,</w:t>
      </w:r>
    </w:p>
    <w:p w14:paraId="7DE2F089" w14:textId="77777777" w:rsidR="00CB4EBF" w:rsidRPr="001C431F" w:rsidRDefault="00CB4EBF" w:rsidP="00CB4EBF">
      <w:pPr>
        <w:pStyle w:val="ListParagraph"/>
        <w:numPr>
          <w:ilvl w:val="0"/>
          <w:numId w:val="7"/>
        </w:numPr>
        <w:spacing w:after="0"/>
        <w:jc w:val="both"/>
        <w:rPr>
          <w:rFonts w:eastAsia="Times New Roman" w:cs="Times New Roman"/>
          <w:iCs/>
          <w:noProof/>
          <w:color w:val="000000"/>
          <w:sz w:val="20"/>
          <w:szCs w:val="20"/>
        </w:rPr>
      </w:pPr>
      <w:r>
        <w:rPr>
          <w:rFonts w:eastAsia="Times New Roman" w:cs="Times New Roman"/>
          <w:noProof/>
          <w:color w:val="000000"/>
          <w:sz w:val="20"/>
          <w:szCs w:val="20"/>
          <w:lang w:val="hr"/>
        </w:rPr>
        <w:t>pripravnici koji žive i studiraju u pograničnom području,</w:t>
      </w:r>
    </w:p>
    <w:p w14:paraId="0632C35D" w14:textId="77777777" w:rsidR="00CB4EBF" w:rsidRDefault="00CB4EBF" w:rsidP="00CB4EBF">
      <w:pPr>
        <w:pStyle w:val="ListParagraph"/>
        <w:numPr>
          <w:ilvl w:val="0"/>
          <w:numId w:val="7"/>
        </w:numPr>
        <w:spacing w:after="0"/>
        <w:jc w:val="both"/>
        <w:rPr>
          <w:rFonts w:eastAsia="Times New Roman" w:cs="Times New Roman"/>
          <w:iCs/>
          <w:noProof/>
          <w:color w:val="000000"/>
          <w:sz w:val="20"/>
          <w:szCs w:val="20"/>
        </w:rPr>
      </w:pPr>
      <w:r>
        <w:rPr>
          <w:rFonts w:eastAsia="Times New Roman" w:cs="Times New Roman"/>
          <w:noProof/>
          <w:color w:val="000000"/>
          <w:sz w:val="20"/>
          <w:szCs w:val="20"/>
          <w:lang w:val="hr"/>
        </w:rPr>
        <w:t>tehničko/nastavno osoblje obrazovnih ustanova i ustanova za osposobljavanje,</w:t>
      </w:r>
    </w:p>
    <w:p w14:paraId="647D898B" w14:textId="77777777" w:rsidR="00CB4EBF" w:rsidRPr="001C431F" w:rsidRDefault="00CB4EBF" w:rsidP="00CB4EBF">
      <w:pPr>
        <w:pStyle w:val="ListParagraph"/>
        <w:numPr>
          <w:ilvl w:val="0"/>
          <w:numId w:val="7"/>
        </w:numPr>
        <w:spacing w:after="0"/>
        <w:jc w:val="both"/>
        <w:rPr>
          <w:rFonts w:eastAsia="Times New Roman" w:cs="Times New Roman"/>
          <w:iCs/>
          <w:noProof/>
          <w:color w:val="000000"/>
          <w:sz w:val="20"/>
          <w:szCs w:val="20"/>
        </w:rPr>
      </w:pPr>
      <w:r>
        <w:rPr>
          <w:rFonts w:eastAsia="Times New Roman" w:cs="Times New Roman"/>
          <w:noProof/>
          <w:color w:val="000000"/>
          <w:sz w:val="20"/>
          <w:szCs w:val="20"/>
          <w:lang w:val="hr"/>
        </w:rPr>
        <w:t>tržišne institucije poslodavaca i radnika,</w:t>
      </w:r>
    </w:p>
    <w:p w14:paraId="3F1293A1" w14:textId="77777777" w:rsidR="00CB4EBF" w:rsidRPr="001C431F" w:rsidRDefault="00CB4EBF" w:rsidP="00CB4EBF">
      <w:pPr>
        <w:pStyle w:val="ListParagraph"/>
        <w:numPr>
          <w:ilvl w:val="0"/>
          <w:numId w:val="7"/>
        </w:numPr>
        <w:spacing w:after="0"/>
        <w:jc w:val="both"/>
        <w:rPr>
          <w:rFonts w:eastAsia="Times New Roman" w:cs="Times New Roman"/>
          <w:iCs/>
          <w:noProof/>
          <w:color w:val="000000"/>
          <w:sz w:val="20"/>
          <w:szCs w:val="20"/>
        </w:rPr>
      </w:pPr>
      <w:r>
        <w:rPr>
          <w:rFonts w:eastAsia="Times New Roman" w:cs="Times New Roman"/>
          <w:noProof/>
          <w:color w:val="000000"/>
          <w:sz w:val="20"/>
          <w:szCs w:val="20"/>
          <w:lang w:val="hr"/>
        </w:rPr>
        <w:t>skupine i pojedinci iz marginaliziranih zajednica, uključujući Rome.</w:t>
      </w:r>
    </w:p>
    <w:p w14:paraId="46B6642D"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p>
    <w:p w14:paraId="5E2DE046"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r>
        <w:rPr>
          <w:rFonts w:eastAsia="Times New Roman" w:cs="Times New Roman"/>
          <w:b/>
          <w:bCs/>
          <w:noProof/>
          <w:sz w:val="20"/>
          <w:szCs w:val="20"/>
          <w:lang w:val="hr"/>
        </w:rPr>
        <w:t>Posebna ciljna područja, uključujući planiranu upotrebu ITI-ja, CLLD-a ili drugih teritorijalnih alata</w:t>
      </w:r>
    </w:p>
    <w:p w14:paraId="2101B3AD"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i/>
          <w:iCs/>
          <w:noProof/>
          <w:color w:val="000000"/>
          <w:sz w:val="20"/>
          <w:szCs w:val="20"/>
          <w:lang w:val="hr"/>
        </w:rPr>
        <w:t>Upućivanje: članak 17. stavak 3. točka (e) podtočka iv.</w:t>
      </w:r>
    </w:p>
    <w:p w14:paraId="5956A9F2" w14:textId="77777777" w:rsidR="00CB4EBF" w:rsidRPr="001C431F" w:rsidRDefault="00CB4EBF" w:rsidP="00CB4EBF">
      <w:pPr>
        <w:keepNext/>
        <w:spacing w:after="0"/>
        <w:jc w:val="both"/>
        <w:rPr>
          <w:rFonts w:eastAsia="Times New Roman" w:cs="Times New Roman"/>
          <w:iCs/>
          <w:noProof/>
          <w:color w:val="000000"/>
          <w:sz w:val="20"/>
          <w:szCs w:val="20"/>
        </w:rPr>
      </w:pPr>
      <w:r>
        <w:rPr>
          <w:rFonts w:eastAsia="Times New Roman" w:cs="Times New Roman"/>
          <w:noProof/>
          <w:color w:val="000000"/>
          <w:sz w:val="20"/>
          <w:szCs w:val="20"/>
          <w:lang w:val="hr"/>
        </w:rPr>
        <w:t>Neće se upotrebljavati teritorijalni alati.</w:t>
      </w:r>
    </w:p>
    <w:p w14:paraId="6CC2884C"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p>
    <w:p w14:paraId="7DF3AE36"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r>
        <w:rPr>
          <w:rFonts w:eastAsia="Times New Roman" w:cs="Times New Roman"/>
          <w:b/>
          <w:bCs/>
          <w:noProof/>
          <w:sz w:val="20"/>
          <w:szCs w:val="20"/>
          <w:lang w:val="hr"/>
        </w:rPr>
        <w:t>Planirana upotreba financijskih instrumenata</w:t>
      </w:r>
    </w:p>
    <w:p w14:paraId="086F4F52"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i/>
          <w:iCs/>
          <w:noProof/>
          <w:color w:val="000000"/>
          <w:sz w:val="20"/>
          <w:szCs w:val="20"/>
          <w:lang w:val="hr"/>
        </w:rPr>
        <w:t>Upućivanje: članak 17. stavak 3. točka (e) podtočka v.</w:t>
      </w:r>
    </w:p>
    <w:p w14:paraId="3142C073" w14:textId="77777777" w:rsidR="00CB4EBF" w:rsidRPr="001C431F" w:rsidRDefault="00CB4EBF" w:rsidP="00CB4EBF">
      <w:pPr>
        <w:keepNext/>
        <w:spacing w:after="0"/>
        <w:jc w:val="both"/>
        <w:rPr>
          <w:rFonts w:eastAsia="Times New Roman" w:cs="Times New Roman"/>
          <w:iCs/>
          <w:noProof/>
          <w:color w:val="000000"/>
          <w:sz w:val="20"/>
          <w:szCs w:val="20"/>
        </w:rPr>
      </w:pPr>
      <w:r>
        <w:rPr>
          <w:rFonts w:eastAsia="Times New Roman" w:cs="Times New Roman"/>
          <w:noProof/>
          <w:color w:val="000000"/>
          <w:sz w:val="20"/>
          <w:szCs w:val="20"/>
          <w:lang w:val="hr"/>
        </w:rPr>
        <w:t>Neće se upotrebljavati financijski instrumenti.</w:t>
      </w:r>
    </w:p>
    <w:p w14:paraId="68DDD670"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p>
    <w:p w14:paraId="21787EA6"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r>
        <w:rPr>
          <w:rFonts w:eastAsia="Times New Roman" w:cs="Times New Roman"/>
          <w:b/>
          <w:bCs/>
          <w:noProof/>
          <w:sz w:val="20"/>
          <w:szCs w:val="20"/>
          <w:lang w:val="hr"/>
        </w:rPr>
        <w:t>Okvirna raščlamba sredstava programa EU-a prema vrsti intervencije</w:t>
      </w:r>
    </w:p>
    <w:p w14:paraId="269F78BA" w14:textId="77777777" w:rsidR="00CB4EBF" w:rsidRPr="001C431F" w:rsidRDefault="00CB4EBF" w:rsidP="00CB4EBF">
      <w:pPr>
        <w:spacing w:after="0" w:line="240" w:lineRule="auto"/>
        <w:jc w:val="both"/>
        <w:rPr>
          <w:rFonts w:cs="Times New Roman"/>
          <w:i/>
          <w:color w:val="000000"/>
          <w:sz w:val="20"/>
          <w:szCs w:val="20"/>
        </w:rPr>
      </w:pPr>
      <w:r>
        <w:rPr>
          <w:rFonts w:cs="Times New Roman"/>
          <w:i/>
          <w:iCs/>
          <w:color w:val="000000"/>
          <w:sz w:val="20"/>
          <w:szCs w:val="20"/>
          <w:lang w:val="hr"/>
        </w:rPr>
        <w:t xml:space="preserve">Upućivanje: </w:t>
      </w:r>
      <w:r>
        <w:rPr>
          <w:rFonts w:cs="Times New Roman"/>
          <w:i/>
          <w:iCs/>
          <w:noProof/>
          <w:color w:val="000000"/>
          <w:sz w:val="20"/>
          <w:szCs w:val="20"/>
          <w:lang w:val="hr"/>
        </w:rPr>
        <w:t>članak 17. stavak 3. točka (e) podtočka vi., članak 17. stavak 9. točka (c) podtočka v.</w:t>
      </w:r>
    </w:p>
    <w:p w14:paraId="4EE749EA" w14:textId="77777777" w:rsidR="00CB4EBF" w:rsidRPr="0090125E" w:rsidRDefault="00CB4EBF" w:rsidP="00CB4EBF">
      <w:pPr>
        <w:spacing w:after="0" w:line="240" w:lineRule="auto"/>
        <w:jc w:val="both"/>
        <w:rPr>
          <w:rFonts w:eastAsia="Times New Roman" w:cs="Times New Roman"/>
          <w:iCs/>
          <w:noProof/>
          <w:sz w:val="20"/>
          <w:szCs w:val="20"/>
        </w:rPr>
      </w:pPr>
    </w:p>
    <w:p w14:paraId="1A0B87C0"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noProof/>
          <w:sz w:val="20"/>
          <w:szCs w:val="20"/>
          <w:lang w:val="hr"/>
        </w:rPr>
        <w:t>Tablica 4.: Dimenzija 1. – područje intervencije</w:t>
      </w:r>
    </w:p>
    <w:tbl>
      <w:tblPr>
        <w:tblStyle w:val="TableGrid"/>
        <w:tblW w:w="0" w:type="auto"/>
        <w:tblLook w:val="04A0" w:firstRow="1" w:lastRow="0" w:firstColumn="1" w:lastColumn="0" w:noHBand="0" w:noVBand="1"/>
      </w:tblPr>
      <w:tblGrid>
        <w:gridCol w:w="1740"/>
        <w:gridCol w:w="8"/>
        <w:gridCol w:w="1557"/>
        <w:gridCol w:w="1778"/>
        <w:gridCol w:w="7"/>
        <w:gridCol w:w="1498"/>
        <w:gridCol w:w="2430"/>
        <w:gridCol w:w="42"/>
      </w:tblGrid>
      <w:tr w:rsidR="00CB4EBF" w:rsidRPr="00A23750" w14:paraId="6869B5C8" w14:textId="77777777" w:rsidTr="0054762C">
        <w:tc>
          <w:tcPr>
            <w:tcW w:w="1788" w:type="dxa"/>
            <w:gridSpan w:val="2"/>
          </w:tcPr>
          <w:p w14:paraId="4763A040"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Prioritet br.</w:t>
            </w:r>
          </w:p>
        </w:tc>
        <w:tc>
          <w:tcPr>
            <w:tcW w:w="1575" w:type="dxa"/>
          </w:tcPr>
          <w:p w14:paraId="54078660"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Fond</w:t>
            </w:r>
          </w:p>
        </w:tc>
        <w:tc>
          <w:tcPr>
            <w:tcW w:w="1821" w:type="dxa"/>
            <w:gridSpan w:val="2"/>
          </w:tcPr>
          <w:p w14:paraId="3FBAE385"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Specifični cilj</w:t>
            </w:r>
          </w:p>
        </w:tc>
        <w:tc>
          <w:tcPr>
            <w:tcW w:w="1359" w:type="dxa"/>
          </w:tcPr>
          <w:p w14:paraId="7FB74C90"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 xml:space="preserve">Oznaka </w:t>
            </w:r>
          </w:p>
        </w:tc>
        <w:tc>
          <w:tcPr>
            <w:tcW w:w="2517" w:type="dxa"/>
            <w:gridSpan w:val="2"/>
          </w:tcPr>
          <w:p w14:paraId="36013C0E"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Iznos (EUR)</w:t>
            </w:r>
          </w:p>
        </w:tc>
      </w:tr>
      <w:tr w:rsidR="00CB4EBF" w:rsidRPr="00A23750" w14:paraId="2E84AA8C" w14:textId="77777777" w:rsidTr="0054762C">
        <w:tc>
          <w:tcPr>
            <w:tcW w:w="1780" w:type="dxa"/>
          </w:tcPr>
          <w:p w14:paraId="3A6FAB8C"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3</w:t>
            </w:r>
          </w:p>
        </w:tc>
        <w:tc>
          <w:tcPr>
            <w:tcW w:w="1608" w:type="dxa"/>
            <w:gridSpan w:val="2"/>
          </w:tcPr>
          <w:p w14:paraId="6914F74B"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EFRR</w:t>
            </w:r>
          </w:p>
        </w:tc>
        <w:tc>
          <w:tcPr>
            <w:tcW w:w="1815" w:type="dxa"/>
            <w:gridSpan w:val="2"/>
          </w:tcPr>
          <w:p w14:paraId="645FE57D" w14:textId="77777777" w:rsidR="00CB4EBF" w:rsidRDefault="00CB4EBF" w:rsidP="0054762C">
            <w:pPr>
              <w:jc w:val="both"/>
              <w:rPr>
                <w:rFonts w:cs="Times New Roman"/>
                <w:bCs/>
                <w:iCs/>
                <w:noProof/>
                <w:sz w:val="20"/>
                <w:szCs w:val="20"/>
              </w:rPr>
            </w:pPr>
            <w:r>
              <w:rPr>
                <w:rFonts w:cs="Times New Roman"/>
                <w:noProof/>
                <w:sz w:val="20"/>
                <w:szCs w:val="20"/>
                <w:lang w:val="hr"/>
              </w:rPr>
              <w:t>SO 4.2</w:t>
            </w:r>
          </w:p>
        </w:tc>
        <w:tc>
          <w:tcPr>
            <w:tcW w:w="1360" w:type="dxa"/>
          </w:tcPr>
          <w:p w14:paraId="4DF3E62B" w14:textId="77777777" w:rsidR="00CB4EBF" w:rsidRDefault="00CB4EBF" w:rsidP="0054762C">
            <w:pPr>
              <w:rPr>
                <w:rFonts w:eastAsia="Times New Roman" w:cs="Times New Roman"/>
                <w:iCs/>
                <w:noProof/>
                <w:sz w:val="20"/>
                <w:szCs w:val="20"/>
              </w:rPr>
            </w:pPr>
            <w:r>
              <w:rPr>
                <w:rFonts w:eastAsia="Times New Roman" w:cs="Times New Roman"/>
                <w:noProof/>
                <w:sz w:val="20"/>
                <w:szCs w:val="20"/>
                <w:lang w:val="hr"/>
              </w:rPr>
              <w:t>121 Infrastruktura za rano obrazovanje i brigu za djecu</w:t>
            </w:r>
          </w:p>
        </w:tc>
        <w:tc>
          <w:tcPr>
            <w:tcW w:w="2497" w:type="dxa"/>
            <w:gridSpan w:val="2"/>
          </w:tcPr>
          <w:p w14:paraId="20D1DFD5"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981 750,00</w:t>
            </w:r>
          </w:p>
        </w:tc>
      </w:tr>
      <w:tr w:rsidR="00CB4EBF" w:rsidRPr="00A23750" w14:paraId="5A76D88C" w14:textId="77777777" w:rsidTr="0054762C">
        <w:trPr>
          <w:gridAfter w:val="1"/>
          <w:wAfter w:w="44" w:type="dxa"/>
        </w:trPr>
        <w:tc>
          <w:tcPr>
            <w:tcW w:w="1780" w:type="dxa"/>
          </w:tcPr>
          <w:p w14:paraId="328F913B"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3</w:t>
            </w:r>
          </w:p>
        </w:tc>
        <w:tc>
          <w:tcPr>
            <w:tcW w:w="1608" w:type="dxa"/>
            <w:gridSpan w:val="2"/>
          </w:tcPr>
          <w:p w14:paraId="48C34C24"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EFRR</w:t>
            </w:r>
          </w:p>
        </w:tc>
        <w:tc>
          <w:tcPr>
            <w:tcW w:w="1815" w:type="dxa"/>
          </w:tcPr>
          <w:p w14:paraId="074CD467" w14:textId="77777777" w:rsidR="00CB4EBF" w:rsidRPr="001C431F" w:rsidRDefault="00CB4EBF" w:rsidP="0054762C">
            <w:pPr>
              <w:jc w:val="both"/>
              <w:rPr>
                <w:rFonts w:eastAsia="Times New Roman" w:cs="Times New Roman"/>
                <w:iCs/>
                <w:noProof/>
                <w:sz w:val="20"/>
                <w:szCs w:val="20"/>
              </w:rPr>
            </w:pPr>
            <w:r>
              <w:rPr>
                <w:rFonts w:cs="Times New Roman"/>
                <w:noProof/>
                <w:sz w:val="20"/>
                <w:szCs w:val="20"/>
                <w:lang w:val="hr"/>
              </w:rPr>
              <w:t>SO 4.2</w:t>
            </w:r>
          </w:p>
        </w:tc>
        <w:tc>
          <w:tcPr>
            <w:tcW w:w="1360" w:type="dxa"/>
            <w:gridSpan w:val="2"/>
          </w:tcPr>
          <w:p w14:paraId="297D264C" w14:textId="77777777" w:rsidR="00CB4EBF" w:rsidRPr="001C431F" w:rsidRDefault="00CB4EBF" w:rsidP="0054762C">
            <w:pPr>
              <w:rPr>
                <w:rFonts w:eastAsia="Times New Roman" w:cs="Times New Roman"/>
                <w:iCs/>
                <w:noProof/>
                <w:sz w:val="20"/>
                <w:szCs w:val="20"/>
              </w:rPr>
            </w:pPr>
            <w:r>
              <w:rPr>
                <w:rFonts w:eastAsia="Times New Roman" w:cs="Times New Roman"/>
                <w:noProof/>
                <w:sz w:val="20"/>
                <w:szCs w:val="20"/>
                <w:lang w:val="hr"/>
              </w:rPr>
              <w:t>122 Infrastruktura za osnovno i srednje obrazovanje</w:t>
            </w:r>
          </w:p>
        </w:tc>
        <w:tc>
          <w:tcPr>
            <w:tcW w:w="2497" w:type="dxa"/>
          </w:tcPr>
          <w:p w14:paraId="4132F1E6"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981 750,00</w:t>
            </w:r>
          </w:p>
        </w:tc>
      </w:tr>
      <w:tr w:rsidR="00CB4EBF" w:rsidRPr="00A23750" w14:paraId="78D4263A" w14:textId="77777777" w:rsidTr="0054762C">
        <w:trPr>
          <w:gridAfter w:val="1"/>
          <w:wAfter w:w="44" w:type="dxa"/>
        </w:trPr>
        <w:tc>
          <w:tcPr>
            <w:tcW w:w="1780" w:type="dxa"/>
          </w:tcPr>
          <w:p w14:paraId="1C5E6474"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3</w:t>
            </w:r>
          </w:p>
        </w:tc>
        <w:tc>
          <w:tcPr>
            <w:tcW w:w="1608" w:type="dxa"/>
            <w:gridSpan w:val="2"/>
          </w:tcPr>
          <w:p w14:paraId="6C4077B3"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EFRR</w:t>
            </w:r>
          </w:p>
        </w:tc>
        <w:tc>
          <w:tcPr>
            <w:tcW w:w="1815" w:type="dxa"/>
          </w:tcPr>
          <w:p w14:paraId="003D0BC3" w14:textId="77777777" w:rsidR="00CB4EBF" w:rsidRDefault="00CB4EBF" w:rsidP="0054762C">
            <w:pPr>
              <w:jc w:val="both"/>
              <w:rPr>
                <w:rFonts w:cs="Times New Roman"/>
                <w:bCs/>
                <w:iCs/>
                <w:noProof/>
                <w:sz w:val="20"/>
                <w:szCs w:val="20"/>
              </w:rPr>
            </w:pPr>
            <w:r>
              <w:rPr>
                <w:rFonts w:cs="Times New Roman"/>
                <w:noProof/>
                <w:sz w:val="20"/>
                <w:szCs w:val="20"/>
                <w:lang w:val="hr"/>
              </w:rPr>
              <w:t>SO 4.2</w:t>
            </w:r>
          </w:p>
        </w:tc>
        <w:tc>
          <w:tcPr>
            <w:tcW w:w="1360" w:type="dxa"/>
            <w:gridSpan w:val="2"/>
          </w:tcPr>
          <w:p w14:paraId="40F8E386" w14:textId="77777777" w:rsidR="00CB4EBF" w:rsidRPr="001C431F" w:rsidRDefault="00CB4EBF" w:rsidP="0054762C">
            <w:pPr>
              <w:rPr>
                <w:rFonts w:eastAsia="Times New Roman" w:cs="Times New Roman"/>
                <w:iCs/>
                <w:noProof/>
                <w:sz w:val="20"/>
                <w:szCs w:val="20"/>
              </w:rPr>
            </w:pPr>
            <w:r>
              <w:rPr>
                <w:rFonts w:eastAsia="Times New Roman" w:cs="Times New Roman"/>
                <w:noProof/>
                <w:sz w:val="20"/>
                <w:szCs w:val="20"/>
                <w:lang w:val="hr"/>
              </w:rPr>
              <w:t>123 Infrastruktura za visoko obrazovanje</w:t>
            </w:r>
          </w:p>
        </w:tc>
        <w:tc>
          <w:tcPr>
            <w:tcW w:w="2497" w:type="dxa"/>
          </w:tcPr>
          <w:p w14:paraId="273D618D"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981 750,00</w:t>
            </w:r>
          </w:p>
        </w:tc>
      </w:tr>
      <w:tr w:rsidR="00CB4EBF" w:rsidRPr="00A23750" w14:paraId="5E93146B" w14:textId="77777777" w:rsidTr="0054762C">
        <w:trPr>
          <w:gridAfter w:val="1"/>
          <w:wAfter w:w="44" w:type="dxa"/>
        </w:trPr>
        <w:tc>
          <w:tcPr>
            <w:tcW w:w="1780" w:type="dxa"/>
          </w:tcPr>
          <w:p w14:paraId="7DCB6E43"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lastRenderedPageBreak/>
              <w:t>3</w:t>
            </w:r>
          </w:p>
        </w:tc>
        <w:tc>
          <w:tcPr>
            <w:tcW w:w="1608" w:type="dxa"/>
            <w:gridSpan w:val="2"/>
          </w:tcPr>
          <w:p w14:paraId="0051EF76"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EFRR</w:t>
            </w:r>
          </w:p>
        </w:tc>
        <w:tc>
          <w:tcPr>
            <w:tcW w:w="1815" w:type="dxa"/>
          </w:tcPr>
          <w:p w14:paraId="625C43BA" w14:textId="77777777" w:rsidR="00CB4EBF" w:rsidRDefault="00CB4EBF" w:rsidP="0054762C">
            <w:pPr>
              <w:jc w:val="both"/>
              <w:rPr>
                <w:rFonts w:cs="Times New Roman"/>
                <w:bCs/>
                <w:iCs/>
                <w:noProof/>
                <w:sz w:val="20"/>
                <w:szCs w:val="20"/>
              </w:rPr>
            </w:pPr>
            <w:r>
              <w:rPr>
                <w:rFonts w:cs="Times New Roman"/>
                <w:noProof/>
                <w:sz w:val="20"/>
                <w:szCs w:val="20"/>
                <w:lang w:val="hr"/>
              </w:rPr>
              <w:t>SO 4.2</w:t>
            </w:r>
          </w:p>
        </w:tc>
        <w:tc>
          <w:tcPr>
            <w:tcW w:w="1360" w:type="dxa"/>
            <w:gridSpan w:val="2"/>
          </w:tcPr>
          <w:p w14:paraId="089F29D1" w14:textId="77777777" w:rsidR="00CB4EBF" w:rsidRPr="001C431F" w:rsidRDefault="00CB4EBF" w:rsidP="0054762C">
            <w:pPr>
              <w:rPr>
                <w:rFonts w:eastAsia="Times New Roman" w:cs="Times New Roman"/>
                <w:iCs/>
                <w:noProof/>
                <w:sz w:val="20"/>
                <w:szCs w:val="20"/>
              </w:rPr>
            </w:pPr>
            <w:r>
              <w:rPr>
                <w:rFonts w:eastAsia="Times New Roman" w:cs="Times New Roman"/>
                <w:noProof/>
                <w:sz w:val="20"/>
                <w:szCs w:val="20"/>
                <w:lang w:val="hr"/>
              </w:rPr>
              <w:t>124 Infrastruktura za strukovno obrazovanje i osposobljavanje i učenje odraslih</w:t>
            </w:r>
          </w:p>
        </w:tc>
        <w:tc>
          <w:tcPr>
            <w:tcW w:w="2497" w:type="dxa"/>
          </w:tcPr>
          <w:p w14:paraId="5D13E05C"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981 750,00</w:t>
            </w:r>
          </w:p>
        </w:tc>
      </w:tr>
      <w:tr w:rsidR="00CB4EBF" w:rsidRPr="00A23750" w14:paraId="0A33AD2A" w14:textId="77777777" w:rsidTr="0054762C">
        <w:trPr>
          <w:gridAfter w:val="1"/>
          <w:wAfter w:w="44" w:type="dxa"/>
        </w:trPr>
        <w:tc>
          <w:tcPr>
            <w:tcW w:w="1780" w:type="dxa"/>
          </w:tcPr>
          <w:p w14:paraId="4B833565"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3</w:t>
            </w:r>
          </w:p>
        </w:tc>
        <w:tc>
          <w:tcPr>
            <w:tcW w:w="1608" w:type="dxa"/>
            <w:gridSpan w:val="2"/>
          </w:tcPr>
          <w:p w14:paraId="03A44C72"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EFRR</w:t>
            </w:r>
          </w:p>
        </w:tc>
        <w:tc>
          <w:tcPr>
            <w:tcW w:w="1815" w:type="dxa"/>
          </w:tcPr>
          <w:p w14:paraId="51156257" w14:textId="77777777" w:rsidR="00CB4EBF" w:rsidRDefault="00CB4EBF" w:rsidP="0054762C">
            <w:pPr>
              <w:jc w:val="both"/>
              <w:rPr>
                <w:rFonts w:cs="Times New Roman"/>
                <w:bCs/>
                <w:iCs/>
                <w:noProof/>
                <w:sz w:val="20"/>
                <w:szCs w:val="20"/>
              </w:rPr>
            </w:pPr>
            <w:r>
              <w:rPr>
                <w:rFonts w:cs="Times New Roman"/>
                <w:noProof/>
                <w:sz w:val="20"/>
                <w:szCs w:val="20"/>
                <w:lang w:val="hr"/>
              </w:rPr>
              <w:t>SO 4.2</w:t>
            </w:r>
          </w:p>
        </w:tc>
        <w:tc>
          <w:tcPr>
            <w:tcW w:w="1360" w:type="dxa"/>
            <w:gridSpan w:val="2"/>
          </w:tcPr>
          <w:p w14:paraId="3C6A94E6" w14:textId="77777777" w:rsidR="00CB4EBF" w:rsidRDefault="00CB4EBF" w:rsidP="0054762C">
            <w:pPr>
              <w:rPr>
                <w:rFonts w:eastAsia="Times New Roman" w:cs="Times New Roman"/>
                <w:iCs/>
                <w:noProof/>
                <w:sz w:val="20"/>
                <w:szCs w:val="20"/>
              </w:rPr>
            </w:pPr>
            <w:r>
              <w:rPr>
                <w:rFonts w:eastAsia="Times New Roman" w:cs="Times New Roman"/>
                <w:noProof/>
                <w:sz w:val="20"/>
                <w:szCs w:val="20"/>
                <w:lang w:val="hr"/>
              </w:rPr>
              <w:t>148 Potpora za rano obrazovanje i brigu za djecu (isključujući infrastrukturu)</w:t>
            </w:r>
          </w:p>
        </w:tc>
        <w:tc>
          <w:tcPr>
            <w:tcW w:w="2497" w:type="dxa"/>
          </w:tcPr>
          <w:p w14:paraId="5FDF079B"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654 500,00</w:t>
            </w:r>
          </w:p>
        </w:tc>
      </w:tr>
      <w:tr w:rsidR="00CB4EBF" w:rsidRPr="00A23750" w14:paraId="695939BA" w14:textId="77777777" w:rsidTr="0054762C">
        <w:trPr>
          <w:gridAfter w:val="1"/>
          <w:wAfter w:w="44" w:type="dxa"/>
        </w:trPr>
        <w:tc>
          <w:tcPr>
            <w:tcW w:w="1780" w:type="dxa"/>
          </w:tcPr>
          <w:p w14:paraId="7B86CE4A"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3</w:t>
            </w:r>
          </w:p>
        </w:tc>
        <w:tc>
          <w:tcPr>
            <w:tcW w:w="1608" w:type="dxa"/>
            <w:gridSpan w:val="2"/>
          </w:tcPr>
          <w:p w14:paraId="7DA4E943"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EFRR</w:t>
            </w:r>
          </w:p>
        </w:tc>
        <w:tc>
          <w:tcPr>
            <w:tcW w:w="1815" w:type="dxa"/>
          </w:tcPr>
          <w:p w14:paraId="3A959D43" w14:textId="77777777" w:rsidR="00CB4EBF" w:rsidRDefault="00CB4EBF" w:rsidP="0054762C">
            <w:pPr>
              <w:jc w:val="both"/>
              <w:rPr>
                <w:rFonts w:cs="Times New Roman"/>
                <w:bCs/>
                <w:iCs/>
                <w:noProof/>
                <w:sz w:val="20"/>
                <w:szCs w:val="20"/>
              </w:rPr>
            </w:pPr>
            <w:r>
              <w:rPr>
                <w:rFonts w:cs="Times New Roman"/>
                <w:noProof/>
                <w:sz w:val="20"/>
                <w:szCs w:val="20"/>
                <w:lang w:val="hr"/>
              </w:rPr>
              <w:t>SO 4.2</w:t>
            </w:r>
          </w:p>
        </w:tc>
        <w:tc>
          <w:tcPr>
            <w:tcW w:w="1360" w:type="dxa"/>
            <w:gridSpan w:val="2"/>
          </w:tcPr>
          <w:p w14:paraId="18BED8CD" w14:textId="77777777" w:rsidR="00CB4EBF" w:rsidRPr="001C431F" w:rsidRDefault="00CB4EBF" w:rsidP="0054762C">
            <w:pPr>
              <w:rPr>
                <w:rFonts w:eastAsia="Times New Roman" w:cs="Times New Roman"/>
                <w:iCs/>
                <w:noProof/>
                <w:sz w:val="20"/>
                <w:szCs w:val="20"/>
              </w:rPr>
            </w:pPr>
            <w:r>
              <w:rPr>
                <w:rFonts w:eastAsia="Times New Roman" w:cs="Times New Roman"/>
                <w:noProof/>
                <w:sz w:val="20"/>
                <w:szCs w:val="20"/>
                <w:lang w:val="hr"/>
              </w:rPr>
              <w:t>149 Potpora za osnovno i srednje obrazovanje (isključujući infrastrukturu)</w:t>
            </w:r>
          </w:p>
        </w:tc>
        <w:tc>
          <w:tcPr>
            <w:tcW w:w="2497" w:type="dxa"/>
          </w:tcPr>
          <w:p w14:paraId="6C8FF28F"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654 500,00</w:t>
            </w:r>
          </w:p>
        </w:tc>
      </w:tr>
      <w:tr w:rsidR="00CB4EBF" w:rsidRPr="00A23750" w14:paraId="02ECD841" w14:textId="77777777" w:rsidTr="0054762C">
        <w:trPr>
          <w:gridAfter w:val="1"/>
          <w:wAfter w:w="44" w:type="dxa"/>
        </w:trPr>
        <w:tc>
          <w:tcPr>
            <w:tcW w:w="1780" w:type="dxa"/>
          </w:tcPr>
          <w:p w14:paraId="1F08966C"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3</w:t>
            </w:r>
          </w:p>
        </w:tc>
        <w:tc>
          <w:tcPr>
            <w:tcW w:w="1608" w:type="dxa"/>
            <w:gridSpan w:val="2"/>
          </w:tcPr>
          <w:p w14:paraId="277F7EC2"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EFRR</w:t>
            </w:r>
          </w:p>
        </w:tc>
        <w:tc>
          <w:tcPr>
            <w:tcW w:w="1815" w:type="dxa"/>
          </w:tcPr>
          <w:p w14:paraId="612EA3ED" w14:textId="77777777" w:rsidR="00CB4EBF" w:rsidRDefault="00CB4EBF" w:rsidP="0054762C">
            <w:pPr>
              <w:jc w:val="both"/>
              <w:rPr>
                <w:rFonts w:cs="Times New Roman"/>
                <w:bCs/>
                <w:iCs/>
                <w:noProof/>
                <w:sz w:val="20"/>
                <w:szCs w:val="20"/>
              </w:rPr>
            </w:pPr>
            <w:r>
              <w:rPr>
                <w:rFonts w:cs="Times New Roman"/>
                <w:noProof/>
                <w:sz w:val="20"/>
                <w:szCs w:val="20"/>
                <w:lang w:val="hr"/>
              </w:rPr>
              <w:t>SO 4.2</w:t>
            </w:r>
          </w:p>
        </w:tc>
        <w:tc>
          <w:tcPr>
            <w:tcW w:w="1360" w:type="dxa"/>
            <w:gridSpan w:val="2"/>
          </w:tcPr>
          <w:p w14:paraId="5553B7ED" w14:textId="77777777" w:rsidR="00CB4EBF" w:rsidRPr="001C431F" w:rsidRDefault="00CB4EBF" w:rsidP="0054762C">
            <w:pPr>
              <w:rPr>
                <w:rFonts w:eastAsia="Times New Roman" w:cs="Times New Roman"/>
                <w:iCs/>
                <w:noProof/>
                <w:sz w:val="20"/>
                <w:szCs w:val="20"/>
              </w:rPr>
            </w:pPr>
            <w:r>
              <w:rPr>
                <w:rFonts w:eastAsia="Times New Roman" w:cs="Times New Roman"/>
                <w:noProof/>
                <w:sz w:val="20"/>
                <w:szCs w:val="20"/>
                <w:lang w:val="hr"/>
              </w:rPr>
              <w:t>150 Potpora za visoko obrazovanje (isključujući infrastrukturu)</w:t>
            </w:r>
          </w:p>
        </w:tc>
        <w:tc>
          <w:tcPr>
            <w:tcW w:w="2497" w:type="dxa"/>
          </w:tcPr>
          <w:p w14:paraId="07C3F078"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654 500,00</w:t>
            </w:r>
          </w:p>
        </w:tc>
      </w:tr>
      <w:tr w:rsidR="00CB4EBF" w:rsidRPr="00A23750" w14:paraId="5AB43111" w14:textId="77777777" w:rsidTr="0054762C">
        <w:trPr>
          <w:gridAfter w:val="1"/>
          <w:wAfter w:w="44" w:type="dxa"/>
        </w:trPr>
        <w:tc>
          <w:tcPr>
            <w:tcW w:w="1780" w:type="dxa"/>
          </w:tcPr>
          <w:p w14:paraId="5330F2FB"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3</w:t>
            </w:r>
          </w:p>
        </w:tc>
        <w:tc>
          <w:tcPr>
            <w:tcW w:w="1608" w:type="dxa"/>
            <w:gridSpan w:val="2"/>
          </w:tcPr>
          <w:p w14:paraId="17E657F6"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EFRR</w:t>
            </w:r>
          </w:p>
        </w:tc>
        <w:tc>
          <w:tcPr>
            <w:tcW w:w="1815" w:type="dxa"/>
          </w:tcPr>
          <w:p w14:paraId="7AC93B80" w14:textId="77777777" w:rsidR="00CB4EBF" w:rsidRDefault="00CB4EBF" w:rsidP="0054762C">
            <w:pPr>
              <w:jc w:val="both"/>
              <w:rPr>
                <w:rFonts w:cs="Times New Roman"/>
                <w:bCs/>
                <w:iCs/>
                <w:noProof/>
                <w:sz w:val="20"/>
                <w:szCs w:val="20"/>
              </w:rPr>
            </w:pPr>
            <w:r>
              <w:rPr>
                <w:rFonts w:cs="Times New Roman"/>
                <w:noProof/>
                <w:sz w:val="20"/>
                <w:szCs w:val="20"/>
                <w:lang w:val="hr"/>
              </w:rPr>
              <w:t>SO 4.2</w:t>
            </w:r>
          </w:p>
        </w:tc>
        <w:tc>
          <w:tcPr>
            <w:tcW w:w="1360" w:type="dxa"/>
            <w:gridSpan w:val="2"/>
          </w:tcPr>
          <w:p w14:paraId="14FC941D" w14:textId="77777777" w:rsidR="00CB4EBF" w:rsidRPr="001C431F" w:rsidRDefault="00CB4EBF" w:rsidP="0054762C">
            <w:pPr>
              <w:rPr>
                <w:rFonts w:eastAsia="Times New Roman" w:cs="Times New Roman"/>
                <w:iCs/>
                <w:noProof/>
                <w:sz w:val="20"/>
                <w:szCs w:val="20"/>
              </w:rPr>
            </w:pPr>
            <w:r>
              <w:rPr>
                <w:rFonts w:eastAsia="Times New Roman" w:cs="Times New Roman"/>
                <w:noProof/>
                <w:sz w:val="20"/>
                <w:szCs w:val="20"/>
                <w:lang w:val="hr"/>
              </w:rPr>
              <w:t>151 Potpora za obrazovanje odraslih (isključujući infrastrukturu)</w:t>
            </w:r>
          </w:p>
        </w:tc>
        <w:tc>
          <w:tcPr>
            <w:tcW w:w="2497" w:type="dxa"/>
          </w:tcPr>
          <w:p w14:paraId="38CAE4B1"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654 500,00</w:t>
            </w:r>
          </w:p>
        </w:tc>
      </w:tr>
    </w:tbl>
    <w:p w14:paraId="4DCB400D" w14:textId="77777777" w:rsidR="00CB4EBF" w:rsidRPr="001C431F" w:rsidRDefault="00CB4EBF" w:rsidP="00CB4EBF">
      <w:pPr>
        <w:spacing w:after="0" w:line="240" w:lineRule="auto"/>
        <w:jc w:val="both"/>
        <w:rPr>
          <w:rFonts w:eastAsia="Times New Roman" w:cs="Times New Roman"/>
          <w:iCs/>
          <w:noProof/>
          <w:sz w:val="20"/>
          <w:szCs w:val="20"/>
        </w:rPr>
      </w:pPr>
    </w:p>
    <w:p w14:paraId="09651BA0"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noProof/>
          <w:sz w:val="20"/>
          <w:szCs w:val="20"/>
          <w:lang w:val="hr"/>
        </w:rPr>
        <w:t>Tablica 5.: Dimenzija 2. – oblik financiranja</w:t>
      </w:r>
    </w:p>
    <w:tbl>
      <w:tblPr>
        <w:tblStyle w:val="TableGrid"/>
        <w:tblW w:w="0" w:type="auto"/>
        <w:tblLook w:val="04A0" w:firstRow="1" w:lastRow="0" w:firstColumn="1" w:lastColumn="0" w:noHBand="0" w:noVBand="1"/>
      </w:tblPr>
      <w:tblGrid>
        <w:gridCol w:w="1817"/>
        <w:gridCol w:w="1602"/>
        <w:gridCol w:w="1848"/>
        <w:gridCol w:w="1216"/>
        <w:gridCol w:w="2577"/>
      </w:tblGrid>
      <w:tr w:rsidR="00CB4EBF" w:rsidRPr="00A23750" w14:paraId="1B01215C" w14:textId="77777777" w:rsidTr="0054762C">
        <w:tc>
          <w:tcPr>
            <w:tcW w:w="1870" w:type="dxa"/>
          </w:tcPr>
          <w:p w14:paraId="06E187FE"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Prioritet br.</w:t>
            </w:r>
          </w:p>
        </w:tc>
        <w:tc>
          <w:tcPr>
            <w:tcW w:w="1657" w:type="dxa"/>
          </w:tcPr>
          <w:p w14:paraId="152ADDF6"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Fond</w:t>
            </w:r>
          </w:p>
        </w:tc>
        <w:tc>
          <w:tcPr>
            <w:tcW w:w="1898" w:type="dxa"/>
          </w:tcPr>
          <w:p w14:paraId="2891F32C"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Specifični cilj</w:t>
            </w:r>
          </w:p>
        </w:tc>
        <w:tc>
          <w:tcPr>
            <w:tcW w:w="1204" w:type="dxa"/>
          </w:tcPr>
          <w:p w14:paraId="022A996F"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 xml:space="preserve">Oznaka </w:t>
            </w:r>
          </w:p>
        </w:tc>
        <w:tc>
          <w:tcPr>
            <w:tcW w:w="2659" w:type="dxa"/>
          </w:tcPr>
          <w:p w14:paraId="374CDE83"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Iznos (EUR)</w:t>
            </w:r>
          </w:p>
        </w:tc>
      </w:tr>
      <w:tr w:rsidR="00CB4EBF" w:rsidRPr="00A23750" w14:paraId="17CC281D" w14:textId="77777777" w:rsidTr="0054762C">
        <w:tc>
          <w:tcPr>
            <w:tcW w:w="1870" w:type="dxa"/>
          </w:tcPr>
          <w:p w14:paraId="156981C5"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3</w:t>
            </w:r>
          </w:p>
        </w:tc>
        <w:tc>
          <w:tcPr>
            <w:tcW w:w="1657" w:type="dxa"/>
          </w:tcPr>
          <w:p w14:paraId="0BA410A7"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EFRR</w:t>
            </w:r>
          </w:p>
        </w:tc>
        <w:tc>
          <w:tcPr>
            <w:tcW w:w="1898" w:type="dxa"/>
          </w:tcPr>
          <w:p w14:paraId="301F7EFB" w14:textId="77777777" w:rsidR="00CB4EBF" w:rsidRPr="001C431F" w:rsidRDefault="00CB4EBF" w:rsidP="0054762C">
            <w:pPr>
              <w:jc w:val="both"/>
              <w:rPr>
                <w:rFonts w:eastAsia="Times New Roman" w:cs="Times New Roman"/>
                <w:iCs/>
                <w:noProof/>
                <w:sz w:val="20"/>
                <w:szCs w:val="20"/>
              </w:rPr>
            </w:pPr>
            <w:r>
              <w:rPr>
                <w:rFonts w:cs="Times New Roman"/>
                <w:noProof/>
                <w:sz w:val="20"/>
                <w:szCs w:val="20"/>
                <w:lang w:val="hr"/>
              </w:rPr>
              <w:t>SO 4.2</w:t>
            </w:r>
          </w:p>
        </w:tc>
        <w:tc>
          <w:tcPr>
            <w:tcW w:w="1204" w:type="dxa"/>
          </w:tcPr>
          <w:p w14:paraId="43573262"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01 Bespovratna sredstva</w:t>
            </w:r>
          </w:p>
        </w:tc>
        <w:tc>
          <w:tcPr>
            <w:tcW w:w="2659" w:type="dxa"/>
          </w:tcPr>
          <w:p w14:paraId="0334B338"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6 545 000,00</w:t>
            </w:r>
          </w:p>
        </w:tc>
      </w:tr>
    </w:tbl>
    <w:p w14:paraId="0E2B9FEE" w14:textId="77777777" w:rsidR="00CB4EBF" w:rsidRPr="001C431F" w:rsidRDefault="00CB4EBF" w:rsidP="00CB4EBF">
      <w:pPr>
        <w:spacing w:after="0" w:line="240" w:lineRule="auto"/>
        <w:jc w:val="both"/>
        <w:rPr>
          <w:rFonts w:eastAsia="Times New Roman" w:cs="Times New Roman"/>
          <w:iCs/>
          <w:noProof/>
          <w:sz w:val="20"/>
          <w:szCs w:val="20"/>
        </w:rPr>
      </w:pPr>
    </w:p>
    <w:p w14:paraId="3AA32B34"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noProof/>
          <w:sz w:val="20"/>
          <w:szCs w:val="20"/>
          <w:lang w:val="hr"/>
        </w:rPr>
        <w:t>Tablica 6.: Dimenzija 3. – mehanizam teritorijalne provedbe i teritorijalni fokus</w:t>
      </w:r>
    </w:p>
    <w:tbl>
      <w:tblPr>
        <w:tblStyle w:val="TableGrid"/>
        <w:tblW w:w="0" w:type="auto"/>
        <w:tblLook w:val="04A0" w:firstRow="1" w:lastRow="0" w:firstColumn="1" w:lastColumn="0" w:noHBand="0" w:noVBand="1"/>
      </w:tblPr>
      <w:tblGrid>
        <w:gridCol w:w="1822"/>
        <w:gridCol w:w="1608"/>
        <w:gridCol w:w="1854"/>
        <w:gridCol w:w="1189"/>
        <w:gridCol w:w="2587"/>
      </w:tblGrid>
      <w:tr w:rsidR="00CB4EBF" w:rsidRPr="00A23750" w14:paraId="2B4F14D8" w14:textId="77777777" w:rsidTr="0054762C">
        <w:tc>
          <w:tcPr>
            <w:tcW w:w="1870" w:type="dxa"/>
          </w:tcPr>
          <w:p w14:paraId="20BD3725"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Prioritet br.</w:t>
            </w:r>
          </w:p>
        </w:tc>
        <w:tc>
          <w:tcPr>
            <w:tcW w:w="1657" w:type="dxa"/>
          </w:tcPr>
          <w:p w14:paraId="15F94456"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Fond</w:t>
            </w:r>
          </w:p>
        </w:tc>
        <w:tc>
          <w:tcPr>
            <w:tcW w:w="1898" w:type="dxa"/>
          </w:tcPr>
          <w:p w14:paraId="16BF4C12"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Specifični cilj</w:t>
            </w:r>
          </w:p>
        </w:tc>
        <w:tc>
          <w:tcPr>
            <w:tcW w:w="1204" w:type="dxa"/>
          </w:tcPr>
          <w:p w14:paraId="43D60430"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 xml:space="preserve">Oznaka </w:t>
            </w:r>
          </w:p>
        </w:tc>
        <w:tc>
          <w:tcPr>
            <w:tcW w:w="2659" w:type="dxa"/>
          </w:tcPr>
          <w:p w14:paraId="046B8161"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Iznos (EUR)</w:t>
            </w:r>
          </w:p>
        </w:tc>
      </w:tr>
      <w:tr w:rsidR="00CB4EBF" w:rsidRPr="00A23750" w14:paraId="0985DAF9" w14:textId="77777777" w:rsidTr="0054762C">
        <w:tc>
          <w:tcPr>
            <w:tcW w:w="1870" w:type="dxa"/>
          </w:tcPr>
          <w:p w14:paraId="13DF7B90"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3</w:t>
            </w:r>
          </w:p>
        </w:tc>
        <w:tc>
          <w:tcPr>
            <w:tcW w:w="1657" w:type="dxa"/>
          </w:tcPr>
          <w:p w14:paraId="7F93F5A9"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EFRR</w:t>
            </w:r>
          </w:p>
        </w:tc>
        <w:tc>
          <w:tcPr>
            <w:tcW w:w="1898" w:type="dxa"/>
          </w:tcPr>
          <w:p w14:paraId="6A4456FE" w14:textId="77777777" w:rsidR="00CB4EBF" w:rsidRPr="001C431F" w:rsidRDefault="00CB4EBF" w:rsidP="0054762C">
            <w:pPr>
              <w:jc w:val="both"/>
              <w:rPr>
                <w:rFonts w:eastAsia="Times New Roman" w:cs="Times New Roman"/>
                <w:iCs/>
                <w:noProof/>
                <w:sz w:val="20"/>
                <w:szCs w:val="20"/>
              </w:rPr>
            </w:pPr>
            <w:r>
              <w:rPr>
                <w:rFonts w:cs="Times New Roman"/>
                <w:noProof/>
                <w:sz w:val="20"/>
                <w:szCs w:val="20"/>
                <w:lang w:val="hr"/>
              </w:rPr>
              <w:t>SO 4.2</w:t>
            </w:r>
          </w:p>
        </w:tc>
        <w:tc>
          <w:tcPr>
            <w:tcW w:w="1204" w:type="dxa"/>
          </w:tcPr>
          <w:p w14:paraId="5ACA3F30" w14:textId="77777777" w:rsidR="00CB4EBF" w:rsidRPr="001C431F" w:rsidRDefault="00CB4EBF" w:rsidP="0054762C">
            <w:pPr>
              <w:rPr>
                <w:rFonts w:eastAsia="Times New Roman" w:cs="Times New Roman"/>
                <w:iCs/>
                <w:noProof/>
                <w:sz w:val="20"/>
                <w:szCs w:val="20"/>
              </w:rPr>
            </w:pPr>
            <w:r>
              <w:rPr>
                <w:rFonts w:eastAsia="Times New Roman" w:cs="Times New Roman"/>
                <w:noProof/>
                <w:sz w:val="20"/>
                <w:szCs w:val="20"/>
                <w:lang w:val="hr"/>
              </w:rPr>
              <w:t>33 Bez ciljanog teritorija</w:t>
            </w:r>
          </w:p>
        </w:tc>
        <w:tc>
          <w:tcPr>
            <w:tcW w:w="2659" w:type="dxa"/>
          </w:tcPr>
          <w:p w14:paraId="1BE70A61" w14:textId="77777777" w:rsidR="00CB4EBF" w:rsidRPr="001C431F" w:rsidRDefault="00CB4EBF" w:rsidP="0054762C">
            <w:pPr>
              <w:jc w:val="both"/>
              <w:rPr>
                <w:rFonts w:cs="Times New Roman"/>
                <w:color w:val="000000"/>
                <w:sz w:val="20"/>
                <w:szCs w:val="20"/>
              </w:rPr>
            </w:pPr>
            <w:r>
              <w:rPr>
                <w:rFonts w:eastAsia="Times New Roman" w:cs="Times New Roman"/>
                <w:noProof/>
                <w:sz w:val="20"/>
                <w:szCs w:val="20"/>
                <w:lang w:val="hr"/>
              </w:rPr>
              <w:t>6 545 000,00</w:t>
            </w:r>
          </w:p>
        </w:tc>
      </w:tr>
    </w:tbl>
    <w:p w14:paraId="6F2E2A9E" w14:textId="77777777" w:rsidR="00CB4EBF" w:rsidRPr="001C431F" w:rsidRDefault="00CB4EBF" w:rsidP="00CB4EBF">
      <w:pPr>
        <w:spacing w:after="0" w:line="240" w:lineRule="auto"/>
        <w:jc w:val="both"/>
        <w:rPr>
          <w:rFonts w:eastAsia="Times New Roman" w:cs="Times New Roman"/>
          <w:iCs/>
          <w:noProof/>
          <w:sz w:val="20"/>
          <w:szCs w:val="20"/>
        </w:rPr>
      </w:pPr>
    </w:p>
    <w:p w14:paraId="5925D706" w14:textId="77777777" w:rsidR="00CB4EBF" w:rsidRPr="001C431F" w:rsidRDefault="00CB4EBF" w:rsidP="00CB4EBF">
      <w:pPr>
        <w:rPr>
          <w:rFonts w:eastAsia="Times New Roman" w:cs="Times New Roman"/>
          <w:b/>
          <w:noProof/>
          <w:color w:val="000000"/>
          <w:sz w:val="20"/>
          <w:szCs w:val="20"/>
        </w:rPr>
      </w:pPr>
      <w:r>
        <w:rPr>
          <w:rFonts w:eastAsia="Times New Roman" w:cs="Times New Roman"/>
          <w:b/>
          <w:bCs/>
          <w:noProof/>
          <w:color w:val="000000"/>
          <w:sz w:val="20"/>
          <w:szCs w:val="20"/>
          <w:lang w:val="hr"/>
        </w:rPr>
        <w:br w:type="page"/>
      </w:r>
    </w:p>
    <w:p w14:paraId="1BB6E31D" w14:textId="77777777" w:rsidR="00CB4EBF" w:rsidRPr="001C431F" w:rsidRDefault="00CB4EBF" w:rsidP="00CB4EBF">
      <w:pPr>
        <w:spacing w:after="0" w:line="240" w:lineRule="auto"/>
        <w:jc w:val="both"/>
        <w:rPr>
          <w:rFonts w:eastAsia="Times New Roman" w:cs="Times New Roman"/>
          <w:b/>
          <w:noProof/>
          <w:color w:val="000000"/>
          <w:sz w:val="20"/>
          <w:szCs w:val="20"/>
        </w:rPr>
      </w:pPr>
      <w:r>
        <w:rPr>
          <w:rFonts w:eastAsia="Times New Roman" w:cs="Times New Roman"/>
          <w:b/>
          <w:bCs/>
          <w:noProof/>
          <w:color w:val="000000"/>
          <w:sz w:val="20"/>
          <w:szCs w:val="20"/>
          <w:lang w:val="hr"/>
        </w:rPr>
        <w:lastRenderedPageBreak/>
        <w:t>Prioritet br. 4. Pogranična regija u suradnji</w:t>
      </w:r>
    </w:p>
    <w:p w14:paraId="52339285"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i/>
          <w:iCs/>
          <w:noProof/>
          <w:color w:val="000000"/>
          <w:sz w:val="20"/>
          <w:szCs w:val="20"/>
          <w:lang w:val="hr"/>
        </w:rPr>
        <w:t>Upućivanje: članak 17. stavak 3. točka (d)</w:t>
      </w:r>
    </w:p>
    <w:p w14:paraId="1F88E0FE"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p>
    <w:p w14:paraId="612C4098" w14:textId="77777777" w:rsidR="00CB4EBF" w:rsidRPr="001C431F" w:rsidRDefault="00CB4EBF" w:rsidP="00CB4EBF">
      <w:pPr>
        <w:spacing w:after="0" w:line="240" w:lineRule="auto"/>
        <w:ind w:left="709" w:hanging="709"/>
        <w:jc w:val="both"/>
        <w:rPr>
          <w:rFonts w:eastAsia="Times New Roman" w:cs="Times New Roman"/>
          <w:iCs/>
          <w:noProof/>
          <w:sz w:val="20"/>
          <w:szCs w:val="20"/>
        </w:rPr>
      </w:pPr>
      <w:r>
        <w:rPr>
          <w:rFonts w:eastAsia="Times New Roman" w:cs="Times New Roman"/>
          <w:b/>
          <w:bCs/>
          <w:noProof/>
          <w:sz w:val="20"/>
          <w:szCs w:val="20"/>
          <w:lang w:val="hr"/>
        </w:rPr>
        <w:t>ISO1 – Bolje upravljanje suradnjom</w:t>
      </w:r>
    </w:p>
    <w:p w14:paraId="79B6FCA1"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i/>
          <w:iCs/>
          <w:noProof/>
          <w:color w:val="000000"/>
          <w:sz w:val="20"/>
          <w:szCs w:val="20"/>
          <w:lang w:val="hr"/>
        </w:rPr>
        <w:t>Upućivanje: članak 17. stavak 3. točka (e)</w:t>
      </w:r>
    </w:p>
    <w:p w14:paraId="7C069E87"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p>
    <w:p w14:paraId="24FC8C91" w14:textId="77777777" w:rsidR="00CB4EBF" w:rsidRPr="001C431F" w:rsidRDefault="00CB4EBF" w:rsidP="00CB4EBF">
      <w:pPr>
        <w:spacing w:after="0" w:line="240" w:lineRule="auto"/>
        <w:jc w:val="both"/>
        <w:rPr>
          <w:rFonts w:eastAsia="Times New Roman" w:cs="Times New Roman"/>
          <w:iCs/>
          <w:noProof/>
          <w:sz w:val="20"/>
          <w:szCs w:val="20"/>
        </w:rPr>
      </w:pPr>
      <w:r>
        <w:rPr>
          <w:rFonts w:eastAsia="Times New Roman" w:cs="Times New Roman"/>
          <w:b/>
          <w:bCs/>
          <w:noProof/>
          <w:sz w:val="20"/>
          <w:szCs w:val="20"/>
          <w:lang w:val="hr"/>
        </w:rPr>
        <w:t>Povezane vrste djelovanja i njihov očekivani doprinos tim specifičnim ciljevima i makroregionalnim strategijama te strategijama morskih bazena, prema potrebi</w:t>
      </w:r>
    </w:p>
    <w:p w14:paraId="07A96355" w14:textId="77777777" w:rsidR="00CB4EBF" w:rsidRDefault="00CB4EBF" w:rsidP="00CB4EBF">
      <w:pPr>
        <w:spacing w:after="0" w:line="240" w:lineRule="auto"/>
        <w:jc w:val="both"/>
        <w:rPr>
          <w:rFonts w:eastAsia="Times New Roman" w:cs="Times New Roman"/>
          <w:i/>
          <w:noProof/>
          <w:color w:val="000000"/>
          <w:sz w:val="20"/>
          <w:szCs w:val="20"/>
        </w:rPr>
      </w:pPr>
      <w:r>
        <w:rPr>
          <w:rFonts w:eastAsia="Times New Roman" w:cs="Times New Roman"/>
          <w:i/>
          <w:iCs/>
          <w:noProof/>
          <w:color w:val="000000"/>
          <w:sz w:val="20"/>
          <w:szCs w:val="20"/>
          <w:lang w:val="hr"/>
        </w:rPr>
        <w:t>Upućivanje: članak 17. stavak 3. točka (e) podtočka i., članak 17. stavak 9. točka (c) podtočka ii.</w:t>
      </w:r>
    </w:p>
    <w:p w14:paraId="08546064" w14:textId="77777777" w:rsidR="00CB4EBF" w:rsidRPr="001C431F" w:rsidRDefault="00CB4EBF" w:rsidP="00CB4EBF">
      <w:pPr>
        <w:spacing w:after="0" w:line="240" w:lineRule="auto"/>
        <w:jc w:val="both"/>
        <w:rPr>
          <w:rFonts w:eastAsia="Times New Roman" w:cs="Times New Roman"/>
          <w:noProof/>
          <w:color w:val="000000"/>
          <w:sz w:val="20"/>
          <w:szCs w:val="20"/>
        </w:rPr>
      </w:pPr>
    </w:p>
    <w:p w14:paraId="28028BC2" w14:textId="77777777" w:rsidR="00CB4EBF" w:rsidRDefault="00CB4EBF" w:rsidP="00CB4EBF">
      <w:p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Djelovanje 1.: ISO 1b Povećanjem učinkovitosti javne uprave s pomoću promicanja pravne i administrativne suradnje te suradnje između građana, aktera civilnog društva i institucija, osobito s ciljem rješavanja pravnih i drugih prepreka u pograničnim regijama.</w:t>
      </w:r>
    </w:p>
    <w:p w14:paraId="04B86A7F" w14:textId="77777777" w:rsidR="00CB4EBF" w:rsidRDefault="00CB4EBF" w:rsidP="00CB4EBF">
      <w:pPr>
        <w:spacing w:after="0" w:line="240" w:lineRule="auto"/>
        <w:jc w:val="both"/>
        <w:rPr>
          <w:rFonts w:eastAsia="Times New Roman" w:cs="Times New Roman"/>
          <w:noProof/>
          <w:color w:val="000000"/>
          <w:sz w:val="20"/>
          <w:szCs w:val="20"/>
        </w:rPr>
      </w:pPr>
    </w:p>
    <w:p w14:paraId="31DA3585" w14:textId="77777777" w:rsidR="00CB4EBF" w:rsidRDefault="00CB4EBF" w:rsidP="00CB4EBF">
      <w:p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Očekivani rezultati:</w:t>
      </w:r>
    </w:p>
    <w:p w14:paraId="1B440FAD" w14:textId="77777777" w:rsidR="00CB4EBF" w:rsidRPr="00B723CC" w:rsidRDefault="00CB4EBF" w:rsidP="00CB4EBF">
      <w:pPr>
        <w:pStyle w:val="ListParagraph"/>
        <w:numPr>
          <w:ilvl w:val="0"/>
          <w:numId w:val="25"/>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prepoznate pravne i administrativne prepreke suradnji u pograničnoj regiji;</w:t>
      </w:r>
    </w:p>
    <w:p w14:paraId="1D1A29F4" w14:textId="77777777" w:rsidR="00CB4EBF" w:rsidRPr="00B723CC" w:rsidRDefault="00CB4EBF" w:rsidP="00CB4EBF">
      <w:pPr>
        <w:pStyle w:val="ListParagraph"/>
        <w:numPr>
          <w:ilvl w:val="0"/>
          <w:numId w:val="25"/>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razvijena rješenja i institucionalne inovacije kojima se pridonosi svladavanju zakonskih i administrativnih prepreka u suradnji organizacija u pograničnom području;</w:t>
      </w:r>
    </w:p>
    <w:p w14:paraId="0FC841C5" w14:textId="77777777" w:rsidR="00CB4EBF" w:rsidRPr="00B723CC" w:rsidRDefault="00CB4EBF" w:rsidP="00CB4EBF">
      <w:pPr>
        <w:pStyle w:val="ListParagraph"/>
        <w:numPr>
          <w:ilvl w:val="0"/>
          <w:numId w:val="25"/>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poboljšani kapaciteti javnih institucija i poboljšane vještine u prekograničnoj suradnji i strateškom/sektorskom planiranju;</w:t>
      </w:r>
    </w:p>
    <w:p w14:paraId="108FEB06" w14:textId="77777777" w:rsidR="00CB4EBF" w:rsidRPr="00B723CC" w:rsidRDefault="00CB4EBF" w:rsidP="00CB4EBF">
      <w:pPr>
        <w:pStyle w:val="ListParagraph"/>
        <w:numPr>
          <w:ilvl w:val="0"/>
          <w:numId w:val="25"/>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poboljšane jezične vještine;</w:t>
      </w:r>
    </w:p>
    <w:p w14:paraId="7C381174" w14:textId="77777777" w:rsidR="00CB4EBF" w:rsidRPr="00B723CC" w:rsidRDefault="00CB4EBF" w:rsidP="00CB4EBF">
      <w:pPr>
        <w:pStyle w:val="ListParagraph"/>
        <w:numPr>
          <w:ilvl w:val="0"/>
          <w:numId w:val="25"/>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veća usklađenost sustava i procesa planiranja, kao i metoda prikupljanja podataka i procjene (u skladu s procesima planiranja);</w:t>
      </w:r>
    </w:p>
    <w:p w14:paraId="0E028BE6" w14:textId="77777777" w:rsidR="00CB4EBF" w:rsidRPr="00B723CC" w:rsidRDefault="00CB4EBF" w:rsidP="00CB4EBF">
      <w:pPr>
        <w:pStyle w:val="ListParagraph"/>
        <w:numPr>
          <w:ilvl w:val="0"/>
          <w:numId w:val="25"/>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prepoznati zajednički regionalni interesi i pravci razvoja.</w:t>
      </w:r>
    </w:p>
    <w:p w14:paraId="12BDBAAB" w14:textId="77777777" w:rsidR="00CB4EBF" w:rsidRPr="008D4C21" w:rsidRDefault="00CB4EBF" w:rsidP="00CB4EBF">
      <w:pPr>
        <w:spacing w:after="0" w:line="240" w:lineRule="auto"/>
        <w:jc w:val="both"/>
        <w:rPr>
          <w:rFonts w:eastAsia="Times New Roman" w:cs="Times New Roman"/>
          <w:noProof/>
          <w:color w:val="000000"/>
          <w:sz w:val="20"/>
          <w:szCs w:val="20"/>
        </w:rPr>
      </w:pPr>
    </w:p>
    <w:p w14:paraId="13AEE9DF" w14:textId="77777777" w:rsidR="00CB4EBF" w:rsidRDefault="00CB4EBF" w:rsidP="00CB4EBF">
      <w:p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U sklopu ovog djelovanja potporu će dobiti suradnički projekti sa sljedećim intervencijskim područjima, među ostalim:</w:t>
      </w:r>
    </w:p>
    <w:p w14:paraId="384EC8E2" w14:textId="77777777" w:rsidR="00CB4EBF" w:rsidRPr="00B723CC" w:rsidRDefault="00CB4EBF" w:rsidP="00CB4EBF">
      <w:pPr>
        <w:pStyle w:val="ListParagraph"/>
        <w:numPr>
          <w:ilvl w:val="0"/>
          <w:numId w:val="22"/>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Smanjenje zakonskih i administrativnih prepreka suradnji teritorijalnih upravnih aktera u različitim domenama;</w:t>
      </w:r>
    </w:p>
    <w:p w14:paraId="417D5AC5" w14:textId="77777777" w:rsidR="00CB4EBF" w:rsidRPr="00B723CC" w:rsidRDefault="00CB4EBF" w:rsidP="00CB4EBF">
      <w:pPr>
        <w:pStyle w:val="ListParagraph"/>
        <w:numPr>
          <w:ilvl w:val="0"/>
          <w:numId w:val="22"/>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Pružanje mogućnosti organizacijama da razrade razvojna pitanja koja smatraju relevantnima s obje strane granice i koja su povezana s budućnošću pograničnog područja. Ta tematska pitanja mogu uključivati sljedeće: tržište rada, zdravstvena i socijalna skrb, digitalizacija, promet i mobilnost itd.</w:t>
      </w:r>
    </w:p>
    <w:p w14:paraId="01101B26" w14:textId="77777777" w:rsidR="00CB4EBF" w:rsidRDefault="00CB4EBF" w:rsidP="00CB4EBF">
      <w:pPr>
        <w:spacing w:after="0" w:line="240" w:lineRule="auto"/>
        <w:jc w:val="both"/>
        <w:rPr>
          <w:rFonts w:eastAsia="Times New Roman" w:cs="Times New Roman"/>
          <w:noProof/>
          <w:color w:val="000000"/>
          <w:sz w:val="20"/>
          <w:szCs w:val="20"/>
        </w:rPr>
      </w:pPr>
    </w:p>
    <w:p w14:paraId="61EE43A4" w14:textId="77777777" w:rsidR="00CB4EBF" w:rsidRPr="00B723CC" w:rsidRDefault="00CB4EBF" w:rsidP="00CB4EBF">
      <w:pPr>
        <w:spacing w:after="0"/>
        <w:jc w:val="both"/>
        <w:rPr>
          <w:rFonts w:cs="Times New Roman"/>
          <w:sz w:val="20"/>
          <w:szCs w:val="20"/>
        </w:rPr>
      </w:pPr>
      <w:r>
        <w:rPr>
          <w:rFonts w:cs="Times New Roman"/>
          <w:sz w:val="20"/>
          <w:szCs w:val="20"/>
          <w:lang w:val="hr"/>
        </w:rPr>
        <w:t>Radnje koje se trebaju podržati shemama potpore s otvorenim pozivom, među ostalim:</w:t>
      </w:r>
    </w:p>
    <w:p w14:paraId="0CA5C552" w14:textId="77777777" w:rsidR="00CB4EBF" w:rsidRPr="00B723CC" w:rsidRDefault="00CB4EBF" w:rsidP="00CB4EBF">
      <w:pPr>
        <w:pStyle w:val="ListParagraph"/>
        <w:numPr>
          <w:ilvl w:val="0"/>
          <w:numId w:val="23"/>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 xml:space="preserve">Prepoznavanje zakonskih i administrativnih prepreka koje su relevantne za prekograničnu suradnju, rješavanje postojećih nedostataka, poticanje digitalizacije, razmjena iskustava, prijenos dobrih praksi, stvaranje i priprema budućih zajedničkih projekata; </w:t>
      </w:r>
    </w:p>
    <w:p w14:paraId="4E8F9874" w14:textId="77777777" w:rsidR="00CB4EBF" w:rsidRPr="00B723CC" w:rsidRDefault="00CB4EBF" w:rsidP="00CB4EBF">
      <w:pPr>
        <w:pStyle w:val="ListParagraph"/>
        <w:numPr>
          <w:ilvl w:val="0"/>
          <w:numId w:val="23"/>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Organizacija sastanaka i seminara za razmjenu iskustava i informacija radi prepoznavanja zajedničkih razvojnih problema, ideja, struktura;</w:t>
      </w:r>
    </w:p>
    <w:p w14:paraId="75D886C9" w14:textId="77777777" w:rsidR="00CB4EBF" w:rsidRPr="00B723CC" w:rsidRDefault="00CB4EBF" w:rsidP="00CB4EBF">
      <w:pPr>
        <w:pStyle w:val="ListParagraph"/>
        <w:numPr>
          <w:ilvl w:val="0"/>
          <w:numId w:val="23"/>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Zajednički razvoj zajedničkih pristupa prepoznatim zajedničkim problemima;</w:t>
      </w:r>
    </w:p>
    <w:p w14:paraId="0EB7B566" w14:textId="77777777" w:rsidR="00CB4EBF" w:rsidRPr="00B723CC" w:rsidRDefault="00CB4EBF" w:rsidP="00CB4EBF">
      <w:pPr>
        <w:pStyle w:val="ListParagraph"/>
        <w:numPr>
          <w:ilvl w:val="0"/>
          <w:numId w:val="23"/>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Zajedničko poboljšanje osnovnih usluga;</w:t>
      </w:r>
    </w:p>
    <w:p w14:paraId="38B6BE95" w14:textId="77777777" w:rsidR="00CB4EBF" w:rsidRPr="00B723CC" w:rsidRDefault="00CB4EBF" w:rsidP="00CB4EBF">
      <w:pPr>
        <w:pStyle w:val="ListParagraph"/>
        <w:numPr>
          <w:ilvl w:val="0"/>
          <w:numId w:val="23"/>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Zajednički razvoj baza podataka;</w:t>
      </w:r>
    </w:p>
    <w:p w14:paraId="55BA1A44" w14:textId="77777777" w:rsidR="00CB4EBF" w:rsidRPr="00B723CC" w:rsidRDefault="00CB4EBF" w:rsidP="00CB4EBF">
      <w:pPr>
        <w:pStyle w:val="ListParagraph"/>
        <w:numPr>
          <w:ilvl w:val="0"/>
          <w:numId w:val="23"/>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Promicanje višejezičnosti.</w:t>
      </w:r>
    </w:p>
    <w:p w14:paraId="5F8E8F1F" w14:textId="77777777" w:rsidR="00CB4EBF" w:rsidRDefault="00CB4EBF" w:rsidP="00CB4EBF">
      <w:pPr>
        <w:spacing w:after="0" w:line="240" w:lineRule="auto"/>
        <w:jc w:val="both"/>
        <w:rPr>
          <w:rFonts w:eastAsia="Times New Roman" w:cs="Times New Roman"/>
          <w:noProof/>
          <w:color w:val="000000"/>
          <w:sz w:val="20"/>
          <w:szCs w:val="20"/>
        </w:rPr>
      </w:pPr>
    </w:p>
    <w:p w14:paraId="7B159218" w14:textId="77777777" w:rsidR="00CB4EBF" w:rsidRDefault="00CB4EBF" w:rsidP="00CB4EBF">
      <w:pPr>
        <w:spacing w:after="0"/>
        <w:jc w:val="both"/>
        <w:rPr>
          <w:rFonts w:cs="Times New Roman"/>
          <w:sz w:val="20"/>
          <w:szCs w:val="20"/>
        </w:rPr>
      </w:pPr>
      <w:r>
        <w:rPr>
          <w:rFonts w:cs="Times New Roman"/>
          <w:sz w:val="20"/>
          <w:szCs w:val="20"/>
          <w:lang w:val="hr"/>
        </w:rPr>
        <w:t>Najvažnija načela za kriterije odabira, među ostalim, jesu:</w:t>
      </w:r>
    </w:p>
    <w:p w14:paraId="059289E6" w14:textId="77777777" w:rsidR="00CB4EBF" w:rsidRPr="00B723CC" w:rsidRDefault="00CB4EBF" w:rsidP="00CB4EBF">
      <w:pPr>
        <w:pStyle w:val="ListParagraph"/>
        <w:numPr>
          <w:ilvl w:val="0"/>
          <w:numId w:val="24"/>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Zajednički projekti, sa zajedničkim tematskim fokusom i zajedničkim projektnim aktivnostima</w:t>
      </w:r>
    </w:p>
    <w:p w14:paraId="61C0F4AD" w14:textId="77777777" w:rsidR="00CB4EBF" w:rsidRPr="00B723CC" w:rsidRDefault="00CB4EBF" w:rsidP="00CB4EBF">
      <w:pPr>
        <w:pStyle w:val="ListParagraph"/>
        <w:numPr>
          <w:ilvl w:val="0"/>
          <w:numId w:val="24"/>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doprinos postizanju određenog cilja;</w:t>
      </w:r>
    </w:p>
    <w:p w14:paraId="42776C8F" w14:textId="77777777" w:rsidR="00CB4EBF" w:rsidRPr="00B723CC" w:rsidRDefault="00CB4EBF" w:rsidP="00CB4EBF">
      <w:pPr>
        <w:pStyle w:val="ListParagraph"/>
        <w:numPr>
          <w:ilvl w:val="0"/>
          <w:numId w:val="24"/>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poboljšana razina suradnje među projektnim partnerima na temelju prijenosa znanja i korištenja prethodnih ishoda projekta;</w:t>
      </w:r>
    </w:p>
    <w:p w14:paraId="7A8C905F" w14:textId="77777777" w:rsidR="00CB4EBF" w:rsidRPr="00B723CC" w:rsidRDefault="00CB4EBF" w:rsidP="00CB4EBF">
      <w:pPr>
        <w:pStyle w:val="ListParagraph"/>
        <w:numPr>
          <w:ilvl w:val="0"/>
          <w:numId w:val="24"/>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doprinos institucionalnim inovacijama;</w:t>
      </w:r>
    </w:p>
    <w:p w14:paraId="7D8B9853" w14:textId="77777777" w:rsidR="00CB4EBF" w:rsidRPr="00B723CC" w:rsidRDefault="00CB4EBF" w:rsidP="00CB4EBF">
      <w:pPr>
        <w:pStyle w:val="ListParagraph"/>
        <w:numPr>
          <w:ilvl w:val="0"/>
          <w:numId w:val="24"/>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doprinos učinkovitijim organizacijskim procesima institucija u suradnji;</w:t>
      </w:r>
    </w:p>
    <w:p w14:paraId="6F5FA641" w14:textId="77777777" w:rsidR="00CB4EBF" w:rsidRPr="00B723CC" w:rsidRDefault="00CB4EBF" w:rsidP="00CB4EBF">
      <w:pPr>
        <w:pStyle w:val="ListParagraph"/>
        <w:numPr>
          <w:ilvl w:val="0"/>
          <w:numId w:val="24"/>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potencijal za iskorištavanje očekivanih ishoda;</w:t>
      </w:r>
    </w:p>
    <w:p w14:paraId="437A006D" w14:textId="77777777" w:rsidR="00CB4EBF" w:rsidRPr="00B723CC" w:rsidRDefault="00CB4EBF" w:rsidP="00CB4EBF">
      <w:pPr>
        <w:pStyle w:val="ListParagraph"/>
        <w:numPr>
          <w:ilvl w:val="0"/>
          <w:numId w:val="24"/>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održivost zajedničkih institucionalnih struktura koje će se razviti;</w:t>
      </w:r>
    </w:p>
    <w:p w14:paraId="3A6F3655" w14:textId="77777777" w:rsidR="00CB4EBF" w:rsidRPr="00B723CC" w:rsidRDefault="00CB4EBF" w:rsidP="00CB4EBF">
      <w:pPr>
        <w:pStyle w:val="ListParagraph"/>
        <w:numPr>
          <w:ilvl w:val="0"/>
          <w:numId w:val="24"/>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održivost zajedničkih procesa koje će se razviti;</w:t>
      </w:r>
    </w:p>
    <w:p w14:paraId="57842176" w14:textId="77777777" w:rsidR="00CB4EBF" w:rsidRPr="00B723CC" w:rsidRDefault="00CB4EBF" w:rsidP="00CB4EBF">
      <w:pPr>
        <w:pStyle w:val="ListParagraph"/>
        <w:numPr>
          <w:ilvl w:val="0"/>
          <w:numId w:val="24"/>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opseg uključivanja novih partnera u CBC aktivnosti;</w:t>
      </w:r>
    </w:p>
    <w:p w14:paraId="030489C2" w14:textId="77777777" w:rsidR="00CB4EBF" w:rsidRPr="00B723CC" w:rsidRDefault="00CB4EBF" w:rsidP="00CB4EBF">
      <w:pPr>
        <w:pStyle w:val="ListParagraph"/>
        <w:numPr>
          <w:ilvl w:val="0"/>
          <w:numId w:val="24"/>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opseg geografske pokrivenosti.</w:t>
      </w:r>
    </w:p>
    <w:p w14:paraId="60257B71" w14:textId="77777777" w:rsidR="00CB4EBF" w:rsidRDefault="00CB4EBF" w:rsidP="00CB4EBF">
      <w:pPr>
        <w:spacing w:after="0" w:line="240" w:lineRule="auto"/>
        <w:jc w:val="both"/>
        <w:rPr>
          <w:rFonts w:eastAsia="Times New Roman" w:cs="Times New Roman"/>
          <w:noProof/>
          <w:color w:val="000000"/>
          <w:sz w:val="20"/>
          <w:szCs w:val="20"/>
        </w:rPr>
      </w:pPr>
    </w:p>
    <w:p w14:paraId="18FD7F17" w14:textId="77777777" w:rsidR="00CB4EBF" w:rsidRDefault="00CB4EBF" w:rsidP="00CB4EBF">
      <w:p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Djelovanje 2.: ISO 1c Izgradnja uzajamnog povjerenja, osobito poticanjem djelovanja „od građana za građane”</w:t>
      </w:r>
    </w:p>
    <w:p w14:paraId="50014216" w14:textId="77777777" w:rsidR="00CB4EBF" w:rsidRDefault="00CB4EBF" w:rsidP="00CB4EBF">
      <w:pPr>
        <w:spacing w:after="0" w:line="240" w:lineRule="auto"/>
        <w:jc w:val="both"/>
        <w:rPr>
          <w:rFonts w:eastAsia="Times New Roman" w:cs="Times New Roman"/>
          <w:noProof/>
          <w:color w:val="000000"/>
          <w:sz w:val="20"/>
          <w:szCs w:val="20"/>
        </w:rPr>
      </w:pPr>
    </w:p>
    <w:p w14:paraId="5B5130B0" w14:textId="77777777" w:rsidR="00CB4EBF" w:rsidRDefault="00CB4EBF" w:rsidP="00CB4EBF">
      <w:p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lastRenderedPageBreak/>
        <w:t>Očekuje se da će projekti koji prime potporu imati sljedeće ishode:</w:t>
      </w:r>
    </w:p>
    <w:p w14:paraId="54C5C2F4" w14:textId="77777777" w:rsidR="00CB4EBF" w:rsidRPr="00B723CC" w:rsidRDefault="00CB4EBF" w:rsidP="00CB4EBF">
      <w:pPr>
        <w:pStyle w:val="ListParagraph"/>
        <w:numPr>
          <w:ilvl w:val="0"/>
          <w:numId w:val="28"/>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daljnji razvoj postojećih veza i pojedinačnih odnosa;</w:t>
      </w:r>
    </w:p>
    <w:p w14:paraId="41D4DD83" w14:textId="77777777" w:rsidR="00CB4EBF" w:rsidRPr="00B723CC" w:rsidRDefault="00CB4EBF" w:rsidP="00CB4EBF">
      <w:pPr>
        <w:pStyle w:val="ListParagraph"/>
        <w:numPr>
          <w:ilvl w:val="0"/>
          <w:numId w:val="28"/>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proširen opseg suradnje uključivanjem niza novih aktera čime će se povećati raznolikost događanja u cijeloj pograničnoj regiji;</w:t>
      </w:r>
    </w:p>
    <w:p w14:paraId="1E42C063" w14:textId="77777777" w:rsidR="00CB4EBF" w:rsidRPr="00B723CC" w:rsidRDefault="00CB4EBF" w:rsidP="00CB4EBF">
      <w:pPr>
        <w:pStyle w:val="ListParagraph"/>
        <w:numPr>
          <w:ilvl w:val="0"/>
          <w:numId w:val="28"/>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povećana razina međusobnog razumijevanja i prihvaćanja time što će se društvu pokazati pozitivna iskustva suradnje.</w:t>
      </w:r>
    </w:p>
    <w:p w14:paraId="01DB489F" w14:textId="77777777" w:rsidR="00CB4EBF" w:rsidRDefault="00CB4EBF" w:rsidP="00CB4EBF">
      <w:pPr>
        <w:spacing w:after="0" w:line="240" w:lineRule="auto"/>
        <w:jc w:val="both"/>
        <w:rPr>
          <w:rFonts w:eastAsia="Times New Roman" w:cs="Times New Roman"/>
          <w:noProof/>
          <w:color w:val="000000"/>
          <w:sz w:val="20"/>
          <w:szCs w:val="20"/>
        </w:rPr>
      </w:pPr>
    </w:p>
    <w:p w14:paraId="547DA725" w14:textId="77777777" w:rsidR="00CB4EBF" w:rsidRDefault="00CB4EBF" w:rsidP="00CB4EBF">
      <w:pPr>
        <w:spacing w:after="0" w:line="240" w:lineRule="auto"/>
        <w:jc w:val="both"/>
        <w:rPr>
          <w:rFonts w:eastAsia="Times New Roman" w:cs="Times New Roman"/>
          <w:iCs/>
          <w:noProof/>
          <w:color w:val="000000"/>
          <w:sz w:val="20"/>
          <w:szCs w:val="20"/>
        </w:rPr>
      </w:pPr>
      <w:r>
        <w:rPr>
          <w:rFonts w:eastAsia="Times New Roman" w:cs="Times New Roman"/>
          <w:noProof/>
          <w:color w:val="000000"/>
          <w:sz w:val="20"/>
          <w:szCs w:val="20"/>
          <w:lang w:val="hr"/>
        </w:rPr>
        <w:t>Očekivani ishodi na razini civilnog društva su sljedeći:</w:t>
      </w:r>
    </w:p>
    <w:p w14:paraId="738216CC" w14:textId="77777777" w:rsidR="00CB4EBF" w:rsidRPr="001204B1" w:rsidRDefault="00CB4EBF" w:rsidP="00CB4EBF">
      <w:pPr>
        <w:pStyle w:val="ListParagraph"/>
        <w:numPr>
          <w:ilvl w:val="0"/>
          <w:numId w:val="7"/>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Uspostavljene nove veze u suradnji na razini civilnog društva u pograničnoj regiji;</w:t>
      </w:r>
    </w:p>
    <w:p w14:paraId="60B19794" w14:textId="77777777" w:rsidR="00CB4EBF" w:rsidRPr="001204B1" w:rsidRDefault="00CB4EBF" w:rsidP="00CB4EBF">
      <w:pPr>
        <w:pStyle w:val="ListParagraph"/>
        <w:numPr>
          <w:ilvl w:val="0"/>
          <w:numId w:val="7"/>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Daljnji razvoj postojećih veza kao i pojedinačnih odnosa.</w:t>
      </w:r>
    </w:p>
    <w:p w14:paraId="1810F231" w14:textId="77777777" w:rsidR="00CB4EBF" w:rsidRDefault="00CB4EBF" w:rsidP="00CB4EBF">
      <w:pPr>
        <w:spacing w:after="0" w:line="240" w:lineRule="auto"/>
        <w:jc w:val="both"/>
        <w:rPr>
          <w:rFonts w:eastAsia="Times New Roman" w:cs="Times New Roman"/>
          <w:noProof/>
          <w:color w:val="000000"/>
          <w:sz w:val="20"/>
          <w:szCs w:val="20"/>
        </w:rPr>
      </w:pPr>
    </w:p>
    <w:p w14:paraId="5D280B14" w14:textId="77777777" w:rsidR="00CB4EBF" w:rsidRDefault="00CB4EBF" w:rsidP="00CB4EBF">
      <w:p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 xml:space="preserve">U okviru ovog djelovanja podržat će se projekti suradnje s naglaskom na civilno društvo i interakcije među ljudima u pograničnoj regiji, uključujući osmišljavanje i održavanje niza zajedničkih kulturnih i sportskih događaja. </w:t>
      </w:r>
    </w:p>
    <w:p w14:paraId="643DF0D4" w14:textId="77777777" w:rsidR="00CB4EBF" w:rsidRDefault="00CB4EBF" w:rsidP="00CB4EBF">
      <w:pPr>
        <w:spacing w:after="0" w:line="240" w:lineRule="auto"/>
        <w:jc w:val="both"/>
        <w:rPr>
          <w:rFonts w:eastAsia="Times New Roman" w:cs="Times New Roman"/>
          <w:noProof/>
          <w:color w:val="000000"/>
          <w:sz w:val="20"/>
          <w:szCs w:val="20"/>
        </w:rPr>
      </w:pPr>
    </w:p>
    <w:p w14:paraId="374CEACE" w14:textId="77777777" w:rsidR="00CB4EBF" w:rsidRDefault="00CB4EBF" w:rsidP="00CB4EBF">
      <w:p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Potporu će dobiti projekti sa sljedećim intervencijskim područjima, među ostalim:</w:t>
      </w:r>
    </w:p>
    <w:p w14:paraId="1CD8A8FF" w14:textId="77777777" w:rsidR="00CB4EBF" w:rsidRPr="00B723CC" w:rsidRDefault="00CB4EBF" w:rsidP="00CB4EBF">
      <w:pPr>
        <w:pStyle w:val="ListParagraph"/>
        <w:numPr>
          <w:ilvl w:val="0"/>
          <w:numId w:val="26"/>
        </w:numPr>
        <w:spacing w:after="0" w:line="240" w:lineRule="auto"/>
        <w:ind w:left="360"/>
        <w:jc w:val="both"/>
        <w:rPr>
          <w:rFonts w:eastAsia="Times New Roman" w:cs="Times New Roman"/>
          <w:noProof/>
          <w:color w:val="000000"/>
          <w:sz w:val="20"/>
          <w:szCs w:val="20"/>
        </w:rPr>
      </w:pPr>
      <w:r>
        <w:rPr>
          <w:rFonts w:eastAsia="Times New Roman" w:cs="Times New Roman"/>
          <w:noProof/>
          <w:color w:val="000000"/>
          <w:sz w:val="20"/>
          <w:szCs w:val="20"/>
          <w:lang w:val="hr"/>
        </w:rPr>
        <w:t>suradnja na području umjetnosti i kulture;</w:t>
      </w:r>
    </w:p>
    <w:p w14:paraId="3ED7EF0A" w14:textId="77777777" w:rsidR="00CB4EBF" w:rsidRPr="00B723CC" w:rsidRDefault="00CB4EBF" w:rsidP="00CB4EBF">
      <w:pPr>
        <w:pStyle w:val="ListParagraph"/>
        <w:numPr>
          <w:ilvl w:val="0"/>
          <w:numId w:val="26"/>
        </w:numPr>
        <w:spacing w:after="0" w:line="240" w:lineRule="auto"/>
        <w:ind w:left="360"/>
        <w:jc w:val="both"/>
        <w:rPr>
          <w:rFonts w:eastAsia="Times New Roman" w:cs="Times New Roman"/>
          <w:noProof/>
          <w:color w:val="000000"/>
          <w:sz w:val="20"/>
          <w:szCs w:val="20"/>
        </w:rPr>
      </w:pPr>
      <w:r>
        <w:rPr>
          <w:rFonts w:eastAsia="Times New Roman" w:cs="Times New Roman"/>
          <w:noProof/>
          <w:color w:val="000000"/>
          <w:sz w:val="20"/>
          <w:szCs w:val="20"/>
          <w:lang w:val="hr"/>
        </w:rPr>
        <w:t>sportska događanja (turniri, svečanosti);</w:t>
      </w:r>
    </w:p>
    <w:p w14:paraId="7CFA3982" w14:textId="77777777" w:rsidR="00CB4EBF" w:rsidRPr="00B723CC" w:rsidRDefault="00CB4EBF" w:rsidP="00CB4EBF">
      <w:pPr>
        <w:pStyle w:val="ListParagraph"/>
        <w:numPr>
          <w:ilvl w:val="0"/>
          <w:numId w:val="26"/>
        </w:numPr>
        <w:spacing w:after="0" w:line="240" w:lineRule="auto"/>
        <w:ind w:left="360"/>
        <w:jc w:val="both"/>
        <w:rPr>
          <w:rFonts w:eastAsia="Times New Roman" w:cs="Times New Roman"/>
          <w:noProof/>
          <w:color w:val="000000"/>
          <w:sz w:val="20"/>
          <w:szCs w:val="20"/>
        </w:rPr>
      </w:pPr>
      <w:r>
        <w:rPr>
          <w:rFonts w:eastAsia="Times New Roman" w:cs="Times New Roman"/>
          <w:noProof/>
          <w:color w:val="000000"/>
          <w:sz w:val="20"/>
          <w:szCs w:val="20"/>
          <w:lang w:val="hr"/>
        </w:rPr>
        <w:t>njegovanje tradicije manjina, promicanje povjerenja i interkulturalni dijalog;</w:t>
      </w:r>
    </w:p>
    <w:p w14:paraId="267D1921" w14:textId="77777777" w:rsidR="00CB4EBF" w:rsidRPr="00B723CC" w:rsidRDefault="00CB4EBF" w:rsidP="00CB4EBF">
      <w:pPr>
        <w:pStyle w:val="ListParagraph"/>
        <w:numPr>
          <w:ilvl w:val="0"/>
          <w:numId w:val="26"/>
        </w:numPr>
        <w:spacing w:after="0" w:line="240" w:lineRule="auto"/>
        <w:ind w:left="360"/>
        <w:jc w:val="both"/>
        <w:rPr>
          <w:rFonts w:eastAsia="Times New Roman" w:cs="Times New Roman"/>
          <w:noProof/>
          <w:color w:val="000000"/>
          <w:sz w:val="20"/>
          <w:szCs w:val="20"/>
        </w:rPr>
      </w:pPr>
      <w:r>
        <w:rPr>
          <w:rFonts w:eastAsia="Times New Roman" w:cs="Times New Roman"/>
          <w:noProof/>
          <w:color w:val="000000"/>
          <w:sz w:val="20"/>
          <w:szCs w:val="20"/>
          <w:lang w:val="hr"/>
        </w:rPr>
        <w:t>društvena integracija mladih i promicanje međugeneracijske solidarnosti.</w:t>
      </w:r>
    </w:p>
    <w:p w14:paraId="2839C5DB" w14:textId="77777777" w:rsidR="00CB4EBF" w:rsidRDefault="00CB4EBF" w:rsidP="00CB4EBF">
      <w:pPr>
        <w:spacing w:after="0" w:line="240" w:lineRule="auto"/>
        <w:jc w:val="both"/>
        <w:rPr>
          <w:rFonts w:eastAsia="Times New Roman" w:cs="Times New Roman"/>
          <w:noProof/>
          <w:color w:val="000000"/>
          <w:sz w:val="20"/>
          <w:szCs w:val="20"/>
        </w:rPr>
      </w:pPr>
    </w:p>
    <w:p w14:paraId="4B68253F" w14:textId="77777777" w:rsidR="00CB4EBF" w:rsidRDefault="00CB4EBF" w:rsidP="00CB4EBF">
      <w:pPr>
        <w:spacing w:after="0"/>
        <w:jc w:val="both"/>
        <w:rPr>
          <w:rFonts w:cs="Times New Roman"/>
          <w:sz w:val="20"/>
          <w:szCs w:val="20"/>
        </w:rPr>
      </w:pPr>
      <w:r>
        <w:rPr>
          <w:rFonts w:cs="Times New Roman"/>
          <w:sz w:val="20"/>
          <w:szCs w:val="20"/>
          <w:lang w:val="hr"/>
        </w:rPr>
        <w:t>Radnje koje se trebaju podržati shemama potpore s otvorenim pozivom, među ostalim:</w:t>
      </w:r>
    </w:p>
    <w:p w14:paraId="7569AEAF" w14:textId="77777777" w:rsidR="00CB4EBF" w:rsidRPr="00B723CC" w:rsidRDefault="00CB4EBF" w:rsidP="00CB4EBF">
      <w:pPr>
        <w:pStyle w:val="ListParagraph"/>
        <w:numPr>
          <w:ilvl w:val="0"/>
          <w:numId w:val="27"/>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uspostavljanje i provedba sporazuma o suradnji civilnih organizacija;</w:t>
      </w:r>
    </w:p>
    <w:p w14:paraId="725F76BE" w14:textId="77777777" w:rsidR="00CB4EBF" w:rsidRPr="00B723CC" w:rsidRDefault="00CB4EBF" w:rsidP="00CB4EBF">
      <w:pPr>
        <w:pStyle w:val="ListParagraph"/>
        <w:numPr>
          <w:ilvl w:val="0"/>
          <w:numId w:val="27"/>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organizacija raznih događanja uz uključivanje ciljnih skupina i šire javnosti;</w:t>
      </w:r>
    </w:p>
    <w:p w14:paraId="535B4AF0" w14:textId="77777777" w:rsidR="00CB4EBF" w:rsidRPr="00B723CC" w:rsidRDefault="00CB4EBF" w:rsidP="00CB4EBF">
      <w:pPr>
        <w:pStyle w:val="ListParagraph"/>
        <w:numPr>
          <w:ilvl w:val="0"/>
          <w:numId w:val="27"/>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razvoj publikacija u stvarnom životu i na internetu.</w:t>
      </w:r>
    </w:p>
    <w:p w14:paraId="7056B306" w14:textId="77777777" w:rsidR="00CB4EBF" w:rsidRDefault="00CB4EBF" w:rsidP="00CB4EBF">
      <w:pPr>
        <w:spacing w:after="0" w:line="240" w:lineRule="auto"/>
        <w:jc w:val="both"/>
        <w:rPr>
          <w:rFonts w:eastAsia="Times New Roman" w:cs="Times New Roman"/>
          <w:noProof/>
          <w:color w:val="000000"/>
          <w:sz w:val="20"/>
          <w:szCs w:val="20"/>
        </w:rPr>
      </w:pPr>
    </w:p>
    <w:p w14:paraId="491EE537" w14:textId="77777777" w:rsidR="00CB4EBF" w:rsidRDefault="00CB4EBF" w:rsidP="00CB4EBF">
      <w:pPr>
        <w:spacing w:after="0"/>
        <w:jc w:val="both"/>
        <w:rPr>
          <w:rFonts w:cs="Times New Roman"/>
          <w:sz w:val="20"/>
          <w:szCs w:val="20"/>
        </w:rPr>
      </w:pPr>
      <w:r>
        <w:rPr>
          <w:rFonts w:cs="Times New Roman"/>
          <w:sz w:val="20"/>
          <w:szCs w:val="20"/>
          <w:lang w:val="hr"/>
        </w:rPr>
        <w:t>Najvažnija načela za kriterije odabira, među ostalim, jesu:</w:t>
      </w:r>
    </w:p>
    <w:p w14:paraId="414C4885" w14:textId="77777777" w:rsidR="00CB4EBF" w:rsidRPr="00B723CC" w:rsidRDefault="00CB4EBF" w:rsidP="00CB4EBF">
      <w:pPr>
        <w:pStyle w:val="ListParagraph"/>
        <w:numPr>
          <w:ilvl w:val="0"/>
          <w:numId w:val="7"/>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doprinos postizanju određenog cilja;</w:t>
      </w:r>
    </w:p>
    <w:p w14:paraId="2686F27B" w14:textId="77777777" w:rsidR="00CB4EBF" w:rsidRPr="00B723CC" w:rsidRDefault="00CB4EBF" w:rsidP="00CB4EBF">
      <w:pPr>
        <w:pStyle w:val="ListParagraph"/>
        <w:numPr>
          <w:ilvl w:val="0"/>
          <w:numId w:val="7"/>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relevantnost teme suradnje za pogranično područje;</w:t>
      </w:r>
    </w:p>
    <w:p w14:paraId="22111C32" w14:textId="77777777" w:rsidR="00CB4EBF" w:rsidRPr="00B723CC" w:rsidRDefault="00CB4EBF" w:rsidP="00CB4EBF">
      <w:pPr>
        <w:pStyle w:val="ListParagraph"/>
        <w:numPr>
          <w:ilvl w:val="0"/>
          <w:numId w:val="7"/>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održivost suradnje nakon završetka projekta;</w:t>
      </w:r>
    </w:p>
    <w:p w14:paraId="057376E5" w14:textId="77777777" w:rsidR="00CB4EBF" w:rsidRPr="00B723CC" w:rsidRDefault="00CB4EBF" w:rsidP="00CB4EBF">
      <w:pPr>
        <w:pStyle w:val="ListParagraph"/>
        <w:numPr>
          <w:ilvl w:val="0"/>
          <w:numId w:val="7"/>
        </w:num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opseg uključivanja novih partnera u CBC aktivnosti.</w:t>
      </w:r>
    </w:p>
    <w:p w14:paraId="39A4E2AB" w14:textId="77777777" w:rsidR="00CB4EBF" w:rsidRPr="0039110F" w:rsidRDefault="00CB4EBF" w:rsidP="00CB4EBF">
      <w:pPr>
        <w:spacing w:after="0" w:line="240" w:lineRule="auto"/>
        <w:jc w:val="both"/>
        <w:rPr>
          <w:rFonts w:eastAsia="Times New Roman" w:cs="Times New Roman"/>
          <w:noProof/>
          <w:color w:val="000000"/>
          <w:sz w:val="20"/>
          <w:szCs w:val="20"/>
        </w:rPr>
      </w:pPr>
    </w:p>
    <w:p w14:paraId="05988BCC" w14:textId="77777777" w:rsidR="00CB4EBF" w:rsidRDefault="00CB4EBF" w:rsidP="00CB4EBF">
      <w:pPr>
        <w:spacing w:after="0" w:line="240" w:lineRule="auto"/>
        <w:jc w:val="both"/>
        <w:rPr>
          <w:rFonts w:eastAsia="Times New Roman" w:cs="Times New Roman"/>
          <w:i/>
          <w:noProof/>
          <w:color w:val="000000"/>
          <w:sz w:val="20"/>
          <w:szCs w:val="20"/>
        </w:rPr>
      </w:pPr>
    </w:p>
    <w:p w14:paraId="4837C423"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r>
        <w:rPr>
          <w:rFonts w:eastAsia="Times New Roman" w:cs="Times New Roman"/>
          <w:b/>
          <w:bCs/>
          <w:noProof/>
          <w:sz w:val="20"/>
          <w:szCs w:val="20"/>
          <w:lang w:val="hr"/>
        </w:rPr>
        <w:t>Pokazatelji</w:t>
      </w:r>
    </w:p>
    <w:p w14:paraId="1E6C40F1"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i/>
          <w:iCs/>
          <w:noProof/>
          <w:color w:val="000000"/>
          <w:sz w:val="20"/>
          <w:szCs w:val="20"/>
          <w:lang w:val="hr"/>
        </w:rPr>
        <w:t>Upućivanje: članak 17. stavak 3. točka (e) podtočka ii., članak 17. stavak 9. točka (c) podtočka iii.</w:t>
      </w:r>
    </w:p>
    <w:p w14:paraId="3A04294E" w14:textId="77777777" w:rsidR="00CB4EBF" w:rsidRPr="001C431F" w:rsidRDefault="00CB4EBF" w:rsidP="00CB4EBF">
      <w:pPr>
        <w:spacing w:after="0" w:line="240" w:lineRule="auto"/>
        <w:rPr>
          <w:rFonts w:eastAsia="Times New Roman" w:cs="Times New Roman"/>
          <w:iCs/>
          <w:noProof/>
          <w:sz w:val="20"/>
          <w:szCs w:val="20"/>
        </w:rPr>
      </w:pPr>
    </w:p>
    <w:p w14:paraId="4CB16150" w14:textId="77777777" w:rsidR="00CB4EBF" w:rsidRPr="001C431F" w:rsidRDefault="00CB4EBF" w:rsidP="00CB4EBF">
      <w:pPr>
        <w:spacing w:after="0" w:line="240" w:lineRule="auto"/>
        <w:rPr>
          <w:rFonts w:eastAsia="Times New Roman" w:cs="Times New Roman"/>
          <w:iCs/>
          <w:noProof/>
          <w:sz w:val="20"/>
          <w:szCs w:val="20"/>
        </w:rPr>
      </w:pPr>
      <w:r>
        <w:rPr>
          <w:rFonts w:eastAsia="Times New Roman" w:cs="Times New Roman"/>
          <w:noProof/>
          <w:sz w:val="20"/>
          <w:szCs w:val="20"/>
          <w:lang w:val="hr"/>
        </w:rPr>
        <w:t>Tablica 2.: Pokazatelji ostvarenja</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1050"/>
        <w:gridCol w:w="883"/>
        <w:gridCol w:w="2422"/>
        <w:gridCol w:w="1334"/>
        <w:gridCol w:w="1224"/>
        <w:gridCol w:w="1470"/>
      </w:tblGrid>
      <w:tr w:rsidR="00CB4EBF" w:rsidRPr="00A23750" w14:paraId="4A2AEC22" w14:textId="77777777" w:rsidTr="0054762C">
        <w:trPr>
          <w:trHeight w:val="836"/>
        </w:trPr>
        <w:tc>
          <w:tcPr>
            <w:tcW w:w="479" w:type="pct"/>
          </w:tcPr>
          <w:p w14:paraId="4BEF1AF2"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 xml:space="preserve">Prioritet </w:t>
            </w:r>
          </w:p>
        </w:tc>
        <w:tc>
          <w:tcPr>
            <w:tcW w:w="527" w:type="pct"/>
          </w:tcPr>
          <w:p w14:paraId="2EE98A6F"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Specifični cilj</w:t>
            </w:r>
          </w:p>
        </w:tc>
        <w:tc>
          <w:tcPr>
            <w:tcW w:w="410" w:type="pct"/>
          </w:tcPr>
          <w:p w14:paraId="507099F7"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Oznaka</w:t>
            </w:r>
          </w:p>
          <w:p w14:paraId="0ACF8A2D"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[5]</w:t>
            </w:r>
          </w:p>
        </w:tc>
        <w:tc>
          <w:tcPr>
            <w:tcW w:w="1330" w:type="pct"/>
            <w:shd w:val="clear" w:color="auto" w:fill="auto"/>
          </w:tcPr>
          <w:p w14:paraId="56F493F9"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 xml:space="preserve">Pokazatelj </w:t>
            </w:r>
          </w:p>
        </w:tc>
        <w:tc>
          <w:tcPr>
            <w:tcW w:w="747" w:type="pct"/>
          </w:tcPr>
          <w:p w14:paraId="7FDD9710"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Mjerna jedinica</w:t>
            </w:r>
          </w:p>
          <w:p w14:paraId="72F93852"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[255]</w:t>
            </w:r>
          </w:p>
        </w:tc>
        <w:tc>
          <w:tcPr>
            <w:tcW w:w="688" w:type="pct"/>
            <w:shd w:val="clear" w:color="auto" w:fill="auto"/>
          </w:tcPr>
          <w:p w14:paraId="5DF29733"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Ključna etapa (2024.)</w:t>
            </w:r>
          </w:p>
          <w:p w14:paraId="3E9F71A5"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[200]</w:t>
            </w:r>
          </w:p>
        </w:tc>
        <w:tc>
          <w:tcPr>
            <w:tcW w:w="819" w:type="pct"/>
            <w:shd w:val="clear" w:color="auto" w:fill="auto"/>
          </w:tcPr>
          <w:p w14:paraId="05D792EC"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Konačna ciljna vrijednost (2029.)</w:t>
            </w:r>
          </w:p>
          <w:p w14:paraId="3A2C2241"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[200]</w:t>
            </w:r>
          </w:p>
        </w:tc>
      </w:tr>
      <w:tr w:rsidR="00CB4EBF" w:rsidRPr="00A23750" w14:paraId="1B23488C" w14:textId="77777777" w:rsidTr="0054762C">
        <w:trPr>
          <w:trHeight w:val="579"/>
        </w:trPr>
        <w:tc>
          <w:tcPr>
            <w:tcW w:w="479" w:type="pct"/>
          </w:tcPr>
          <w:p w14:paraId="6BB1A9FE" w14:textId="77777777" w:rsidR="00CB4EBF" w:rsidRPr="001C431F" w:rsidRDefault="00CB4EBF" w:rsidP="0054762C">
            <w:pPr>
              <w:spacing w:after="0" w:line="240" w:lineRule="auto"/>
              <w:jc w:val="center"/>
              <w:rPr>
                <w:rFonts w:cs="Times New Roman"/>
                <w:bCs/>
                <w:iCs/>
                <w:noProof/>
                <w:sz w:val="20"/>
                <w:szCs w:val="20"/>
              </w:rPr>
            </w:pPr>
            <w:r>
              <w:rPr>
                <w:rFonts w:cs="Times New Roman"/>
                <w:noProof/>
                <w:sz w:val="20"/>
                <w:szCs w:val="20"/>
                <w:lang w:val="hr"/>
              </w:rPr>
              <w:t>4</w:t>
            </w:r>
          </w:p>
        </w:tc>
        <w:tc>
          <w:tcPr>
            <w:tcW w:w="527" w:type="pct"/>
          </w:tcPr>
          <w:p w14:paraId="19D366B8" w14:textId="77777777" w:rsidR="00CB4EBF" w:rsidRPr="001C431F" w:rsidRDefault="00CB4EBF" w:rsidP="0054762C">
            <w:pPr>
              <w:spacing w:after="0" w:line="240" w:lineRule="auto"/>
              <w:jc w:val="both"/>
              <w:rPr>
                <w:rFonts w:cs="Times New Roman"/>
                <w:bCs/>
                <w:iCs/>
                <w:noProof/>
                <w:sz w:val="20"/>
                <w:szCs w:val="20"/>
              </w:rPr>
            </w:pPr>
            <w:r>
              <w:rPr>
                <w:rFonts w:cs="Times New Roman"/>
                <w:noProof/>
                <w:sz w:val="20"/>
                <w:szCs w:val="20"/>
                <w:lang w:val="hr"/>
              </w:rPr>
              <w:t>ISO 1</w:t>
            </w:r>
          </w:p>
        </w:tc>
        <w:tc>
          <w:tcPr>
            <w:tcW w:w="410" w:type="pct"/>
          </w:tcPr>
          <w:p w14:paraId="5E18549E" w14:textId="77777777" w:rsidR="00CB4EBF" w:rsidRPr="001C431F" w:rsidRDefault="00CB4EBF" w:rsidP="0054762C">
            <w:pPr>
              <w:spacing w:after="0" w:line="240" w:lineRule="auto"/>
              <w:jc w:val="both"/>
              <w:rPr>
                <w:rFonts w:cs="Times New Roman"/>
                <w:bCs/>
                <w:iCs/>
                <w:noProof/>
                <w:sz w:val="20"/>
                <w:szCs w:val="20"/>
              </w:rPr>
            </w:pPr>
            <w:r>
              <w:rPr>
                <w:rFonts w:cs="Times New Roman"/>
                <w:noProof/>
                <w:sz w:val="20"/>
                <w:szCs w:val="20"/>
                <w:lang w:val="hr"/>
              </w:rPr>
              <w:t>RCO 87</w:t>
            </w:r>
          </w:p>
        </w:tc>
        <w:tc>
          <w:tcPr>
            <w:tcW w:w="1330" w:type="pct"/>
            <w:shd w:val="clear" w:color="auto" w:fill="auto"/>
          </w:tcPr>
          <w:p w14:paraId="66731EF1" w14:textId="77777777" w:rsidR="00CB4EBF" w:rsidRPr="001C431F" w:rsidRDefault="00CB4EBF" w:rsidP="0054762C">
            <w:pPr>
              <w:spacing w:after="0" w:line="240" w:lineRule="auto"/>
              <w:rPr>
                <w:rFonts w:cs="Times New Roman"/>
                <w:bCs/>
                <w:iCs/>
                <w:noProof/>
                <w:sz w:val="20"/>
                <w:szCs w:val="20"/>
              </w:rPr>
            </w:pPr>
            <w:r>
              <w:rPr>
                <w:rFonts w:cs="Times New Roman"/>
                <w:noProof/>
                <w:sz w:val="20"/>
                <w:szCs w:val="20"/>
                <w:lang w:val="hr"/>
              </w:rPr>
              <w:t>Organizacije koje surađuju preko granica</w:t>
            </w:r>
          </w:p>
        </w:tc>
        <w:tc>
          <w:tcPr>
            <w:tcW w:w="747" w:type="pct"/>
          </w:tcPr>
          <w:p w14:paraId="6976F2D1" w14:textId="77777777" w:rsidR="00CB4EBF" w:rsidRPr="001C431F" w:rsidRDefault="00CB4EBF" w:rsidP="0054762C">
            <w:pPr>
              <w:spacing w:after="0" w:line="240" w:lineRule="auto"/>
              <w:jc w:val="both"/>
              <w:rPr>
                <w:rFonts w:cs="Times New Roman"/>
                <w:bCs/>
                <w:iCs/>
                <w:noProof/>
                <w:sz w:val="20"/>
                <w:szCs w:val="20"/>
              </w:rPr>
            </w:pPr>
            <w:r>
              <w:rPr>
                <w:rFonts w:cs="Times New Roman"/>
                <w:noProof/>
                <w:sz w:val="20"/>
                <w:szCs w:val="20"/>
                <w:lang w:val="hr"/>
              </w:rPr>
              <w:t>Organizacije</w:t>
            </w:r>
          </w:p>
        </w:tc>
        <w:tc>
          <w:tcPr>
            <w:tcW w:w="688" w:type="pct"/>
            <w:shd w:val="clear" w:color="auto" w:fill="auto"/>
          </w:tcPr>
          <w:p w14:paraId="134E3204" w14:textId="77777777" w:rsidR="00CB4EBF" w:rsidRPr="001C431F" w:rsidRDefault="00CB4EBF" w:rsidP="0054762C">
            <w:pPr>
              <w:spacing w:after="0" w:line="240" w:lineRule="auto"/>
              <w:jc w:val="center"/>
              <w:rPr>
                <w:rFonts w:cs="Times New Roman"/>
                <w:bCs/>
                <w:iCs/>
                <w:noProof/>
                <w:sz w:val="20"/>
                <w:szCs w:val="20"/>
              </w:rPr>
            </w:pPr>
            <w:r>
              <w:rPr>
                <w:rFonts w:cs="Times New Roman"/>
                <w:noProof/>
                <w:sz w:val="20"/>
                <w:szCs w:val="20"/>
                <w:lang w:val="hr"/>
              </w:rPr>
              <w:t>0</w:t>
            </w:r>
          </w:p>
        </w:tc>
        <w:tc>
          <w:tcPr>
            <w:tcW w:w="819" w:type="pct"/>
            <w:shd w:val="clear" w:color="auto" w:fill="auto"/>
          </w:tcPr>
          <w:p w14:paraId="39E1811F" w14:textId="77777777" w:rsidR="00CB4EBF" w:rsidRPr="001C431F" w:rsidRDefault="00CB4EBF" w:rsidP="0054762C">
            <w:pPr>
              <w:spacing w:after="0" w:line="240" w:lineRule="auto"/>
              <w:jc w:val="center"/>
              <w:rPr>
                <w:rFonts w:cs="Times New Roman"/>
                <w:bCs/>
                <w:iCs/>
                <w:noProof/>
                <w:sz w:val="20"/>
                <w:szCs w:val="20"/>
              </w:rPr>
            </w:pPr>
            <w:r>
              <w:rPr>
                <w:rFonts w:cs="Times New Roman"/>
                <w:noProof/>
                <w:sz w:val="20"/>
                <w:szCs w:val="20"/>
                <w:lang w:val="hr"/>
              </w:rPr>
              <w:t>68</w:t>
            </w:r>
          </w:p>
        </w:tc>
      </w:tr>
    </w:tbl>
    <w:p w14:paraId="33A2E4DF" w14:textId="77777777" w:rsidR="00CB4EBF" w:rsidRPr="001C431F" w:rsidRDefault="00CB4EBF" w:rsidP="00CB4EBF">
      <w:pPr>
        <w:spacing w:after="0" w:line="240" w:lineRule="auto"/>
        <w:rPr>
          <w:rFonts w:eastAsia="Times New Roman" w:cs="Times New Roman"/>
          <w:iCs/>
          <w:noProof/>
          <w:sz w:val="20"/>
          <w:szCs w:val="20"/>
        </w:rPr>
      </w:pPr>
    </w:p>
    <w:p w14:paraId="0B3319D4" w14:textId="77777777" w:rsidR="00CB4EBF" w:rsidRPr="001C431F" w:rsidRDefault="00CB4EBF" w:rsidP="00CB4EBF">
      <w:pPr>
        <w:spacing w:after="0" w:line="240" w:lineRule="auto"/>
        <w:rPr>
          <w:rFonts w:eastAsia="Times New Roman" w:cs="Times New Roman"/>
          <w:iCs/>
          <w:noProof/>
          <w:sz w:val="20"/>
          <w:szCs w:val="20"/>
        </w:rPr>
      </w:pPr>
      <w:r>
        <w:rPr>
          <w:rFonts w:eastAsia="Times New Roman" w:cs="Times New Roman"/>
          <w:noProof/>
          <w:sz w:val="20"/>
          <w:szCs w:val="20"/>
          <w:lang w:val="hr"/>
        </w:rPr>
        <w:t>Tablica 3.: Pokazatelji rezultata</w:t>
      </w:r>
    </w:p>
    <w:tbl>
      <w:tblPr>
        <w:tblW w:w="53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1050"/>
        <w:gridCol w:w="883"/>
        <w:gridCol w:w="1238"/>
        <w:gridCol w:w="1238"/>
        <w:gridCol w:w="1083"/>
        <w:gridCol w:w="1172"/>
        <w:gridCol w:w="1083"/>
        <w:gridCol w:w="1261"/>
        <w:gridCol w:w="1128"/>
      </w:tblGrid>
      <w:tr w:rsidR="00CB4EBF" w:rsidRPr="00A23750" w14:paraId="11FC59FC" w14:textId="77777777" w:rsidTr="0054762C">
        <w:trPr>
          <w:trHeight w:val="947"/>
        </w:trPr>
        <w:tc>
          <w:tcPr>
            <w:tcW w:w="461" w:type="pct"/>
          </w:tcPr>
          <w:p w14:paraId="42729330"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 xml:space="preserve">Prioritet </w:t>
            </w:r>
          </w:p>
        </w:tc>
        <w:tc>
          <w:tcPr>
            <w:tcW w:w="507" w:type="pct"/>
          </w:tcPr>
          <w:p w14:paraId="4085629E"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Specifični cilj</w:t>
            </w:r>
          </w:p>
        </w:tc>
        <w:tc>
          <w:tcPr>
            <w:tcW w:w="318" w:type="pct"/>
          </w:tcPr>
          <w:p w14:paraId="58251A7E"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Oznaka</w:t>
            </w:r>
          </w:p>
        </w:tc>
        <w:tc>
          <w:tcPr>
            <w:tcW w:w="645" w:type="pct"/>
            <w:shd w:val="clear" w:color="auto" w:fill="auto"/>
          </w:tcPr>
          <w:p w14:paraId="22763E79"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 xml:space="preserve">Pokazatelj </w:t>
            </w:r>
          </w:p>
        </w:tc>
        <w:tc>
          <w:tcPr>
            <w:tcW w:w="626" w:type="pct"/>
          </w:tcPr>
          <w:p w14:paraId="2D47749C"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Mjerna jedinica</w:t>
            </w:r>
          </w:p>
        </w:tc>
        <w:tc>
          <w:tcPr>
            <w:tcW w:w="479" w:type="pct"/>
          </w:tcPr>
          <w:p w14:paraId="2951578B"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Osnovna vrijednost</w:t>
            </w:r>
          </w:p>
        </w:tc>
        <w:tc>
          <w:tcPr>
            <w:tcW w:w="552" w:type="pct"/>
          </w:tcPr>
          <w:p w14:paraId="3098454A"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Referentna godina</w:t>
            </w:r>
          </w:p>
        </w:tc>
        <w:tc>
          <w:tcPr>
            <w:tcW w:w="387" w:type="pct"/>
            <w:shd w:val="clear" w:color="auto" w:fill="auto"/>
          </w:tcPr>
          <w:p w14:paraId="5CA700E5"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Konačna ciljna vrijednost (2029.)</w:t>
            </w:r>
          </w:p>
        </w:tc>
        <w:tc>
          <w:tcPr>
            <w:tcW w:w="438" w:type="pct"/>
            <w:shd w:val="clear" w:color="auto" w:fill="auto"/>
          </w:tcPr>
          <w:p w14:paraId="0DDA494E" w14:textId="77777777" w:rsidR="00CB4EBF" w:rsidRPr="001C431F" w:rsidRDefault="00CB4EBF" w:rsidP="0054762C">
            <w:pPr>
              <w:spacing w:after="0" w:line="240" w:lineRule="auto"/>
              <w:jc w:val="both"/>
              <w:rPr>
                <w:rFonts w:cs="Times New Roman"/>
                <w:b/>
                <w:noProof/>
                <w:sz w:val="20"/>
                <w:szCs w:val="20"/>
              </w:rPr>
            </w:pPr>
            <w:r>
              <w:rPr>
                <w:rFonts w:cs="Times New Roman"/>
                <w:b/>
                <w:bCs/>
                <w:noProof/>
                <w:sz w:val="20"/>
                <w:szCs w:val="20"/>
                <w:lang w:val="hr"/>
              </w:rPr>
              <w:t>Izvor podataka</w:t>
            </w:r>
          </w:p>
        </w:tc>
        <w:tc>
          <w:tcPr>
            <w:tcW w:w="587" w:type="pct"/>
          </w:tcPr>
          <w:p w14:paraId="0A3AEF56" w14:textId="77777777" w:rsidR="00CB4EBF" w:rsidRPr="001C431F" w:rsidRDefault="00CB4EBF" w:rsidP="0054762C">
            <w:pPr>
              <w:spacing w:after="0" w:line="480" w:lineRule="auto"/>
              <w:jc w:val="both"/>
              <w:rPr>
                <w:rFonts w:cs="Times New Roman"/>
                <w:b/>
                <w:noProof/>
                <w:sz w:val="20"/>
                <w:szCs w:val="20"/>
              </w:rPr>
            </w:pPr>
            <w:r>
              <w:rPr>
                <w:rFonts w:cs="Times New Roman"/>
                <w:b/>
                <w:bCs/>
                <w:noProof/>
                <w:sz w:val="20"/>
                <w:szCs w:val="20"/>
                <w:lang w:val="hr"/>
              </w:rPr>
              <w:t>Napomene</w:t>
            </w:r>
          </w:p>
        </w:tc>
      </w:tr>
      <w:tr w:rsidR="00CB4EBF" w:rsidRPr="00A23750" w14:paraId="2D76CE79" w14:textId="77777777" w:rsidTr="0054762C">
        <w:trPr>
          <w:trHeight w:val="629"/>
        </w:trPr>
        <w:tc>
          <w:tcPr>
            <w:tcW w:w="461" w:type="pct"/>
          </w:tcPr>
          <w:p w14:paraId="1914E4AD" w14:textId="77777777" w:rsidR="00CB4EBF" w:rsidRPr="001C431F" w:rsidRDefault="00CB4EBF" w:rsidP="0054762C">
            <w:pPr>
              <w:spacing w:after="0" w:line="240" w:lineRule="auto"/>
              <w:jc w:val="center"/>
              <w:rPr>
                <w:rFonts w:cs="Times New Roman"/>
                <w:iCs/>
                <w:noProof/>
                <w:sz w:val="20"/>
                <w:szCs w:val="20"/>
              </w:rPr>
            </w:pPr>
            <w:r>
              <w:rPr>
                <w:rFonts w:cs="Times New Roman"/>
                <w:noProof/>
                <w:sz w:val="20"/>
                <w:szCs w:val="20"/>
                <w:lang w:val="hr"/>
              </w:rPr>
              <w:t>4</w:t>
            </w:r>
          </w:p>
        </w:tc>
        <w:tc>
          <w:tcPr>
            <w:tcW w:w="507" w:type="pct"/>
          </w:tcPr>
          <w:p w14:paraId="5195894D" w14:textId="77777777" w:rsidR="00CB4EBF" w:rsidRPr="001C431F" w:rsidRDefault="00CB4EBF" w:rsidP="0054762C">
            <w:pPr>
              <w:spacing w:after="0" w:line="240" w:lineRule="auto"/>
              <w:jc w:val="both"/>
              <w:rPr>
                <w:rFonts w:cs="Times New Roman"/>
                <w:iCs/>
                <w:noProof/>
                <w:sz w:val="20"/>
                <w:szCs w:val="20"/>
              </w:rPr>
            </w:pPr>
            <w:r>
              <w:rPr>
                <w:rFonts w:cs="Times New Roman"/>
                <w:noProof/>
                <w:sz w:val="20"/>
                <w:szCs w:val="20"/>
                <w:lang w:val="hr"/>
              </w:rPr>
              <w:t>ISO 1</w:t>
            </w:r>
          </w:p>
        </w:tc>
        <w:tc>
          <w:tcPr>
            <w:tcW w:w="318" w:type="pct"/>
          </w:tcPr>
          <w:p w14:paraId="70C1419C" w14:textId="77777777" w:rsidR="00CB4EBF" w:rsidRPr="001C431F" w:rsidRDefault="00CB4EBF" w:rsidP="0054762C">
            <w:pPr>
              <w:spacing w:after="0" w:line="240" w:lineRule="auto"/>
              <w:jc w:val="both"/>
              <w:rPr>
                <w:rFonts w:cs="Times New Roman"/>
                <w:iCs/>
                <w:noProof/>
                <w:sz w:val="20"/>
                <w:szCs w:val="20"/>
              </w:rPr>
            </w:pPr>
            <w:r>
              <w:rPr>
                <w:rFonts w:cs="Times New Roman"/>
                <w:noProof/>
                <w:sz w:val="20"/>
                <w:szCs w:val="20"/>
                <w:lang w:val="hr"/>
              </w:rPr>
              <w:t>RCR 84</w:t>
            </w:r>
          </w:p>
        </w:tc>
        <w:tc>
          <w:tcPr>
            <w:tcW w:w="645" w:type="pct"/>
            <w:shd w:val="clear" w:color="auto" w:fill="auto"/>
          </w:tcPr>
          <w:p w14:paraId="40FEFA6E" w14:textId="77777777" w:rsidR="00CB4EBF" w:rsidRPr="001C431F" w:rsidRDefault="00CB4EBF" w:rsidP="0054762C">
            <w:pPr>
              <w:spacing w:after="0" w:line="240" w:lineRule="auto"/>
              <w:rPr>
                <w:rFonts w:cs="Times New Roman"/>
                <w:iCs/>
                <w:noProof/>
                <w:sz w:val="20"/>
                <w:szCs w:val="20"/>
              </w:rPr>
            </w:pPr>
            <w:r>
              <w:rPr>
                <w:rFonts w:cs="Times New Roman"/>
                <w:noProof/>
                <w:sz w:val="20"/>
                <w:szCs w:val="20"/>
                <w:lang w:val="hr"/>
              </w:rPr>
              <w:t>Organizacije koje surađuju preko granica nakon okončanja projekta</w:t>
            </w:r>
          </w:p>
        </w:tc>
        <w:tc>
          <w:tcPr>
            <w:tcW w:w="626" w:type="pct"/>
          </w:tcPr>
          <w:p w14:paraId="10DA1213" w14:textId="77777777" w:rsidR="00CB4EBF" w:rsidRPr="001C431F" w:rsidRDefault="00CB4EBF" w:rsidP="0054762C">
            <w:pPr>
              <w:spacing w:after="0" w:line="240" w:lineRule="auto"/>
              <w:rPr>
                <w:rFonts w:cs="Times New Roman"/>
                <w:iCs/>
                <w:noProof/>
                <w:sz w:val="20"/>
                <w:szCs w:val="20"/>
              </w:rPr>
            </w:pPr>
            <w:r>
              <w:rPr>
                <w:rFonts w:cs="Times New Roman"/>
                <w:noProof/>
                <w:sz w:val="20"/>
                <w:szCs w:val="20"/>
                <w:lang w:val="hr"/>
              </w:rPr>
              <w:t>Organizacije</w:t>
            </w:r>
          </w:p>
        </w:tc>
        <w:tc>
          <w:tcPr>
            <w:tcW w:w="479" w:type="pct"/>
          </w:tcPr>
          <w:p w14:paraId="18F41AA7" w14:textId="77777777" w:rsidR="00CB4EBF" w:rsidRPr="001C431F" w:rsidRDefault="00CB4EBF" w:rsidP="0054762C">
            <w:pPr>
              <w:spacing w:after="0" w:line="240" w:lineRule="auto"/>
              <w:jc w:val="center"/>
              <w:rPr>
                <w:rFonts w:cs="Times New Roman"/>
                <w:iCs/>
                <w:noProof/>
                <w:sz w:val="20"/>
                <w:szCs w:val="20"/>
              </w:rPr>
            </w:pPr>
            <w:r>
              <w:rPr>
                <w:rFonts w:cs="Times New Roman"/>
                <w:noProof/>
                <w:sz w:val="20"/>
                <w:szCs w:val="20"/>
                <w:lang w:val="hr"/>
              </w:rPr>
              <w:t>0</w:t>
            </w:r>
          </w:p>
        </w:tc>
        <w:tc>
          <w:tcPr>
            <w:tcW w:w="552" w:type="pct"/>
          </w:tcPr>
          <w:p w14:paraId="67AF3189" w14:textId="77777777" w:rsidR="00CB4EBF" w:rsidRPr="001C431F" w:rsidRDefault="00CB4EBF" w:rsidP="0054762C">
            <w:pPr>
              <w:spacing w:after="0" w:line="240" w:lineRule="auto"/>
              <w:jc w:val="center"/>
              <w:rPr>
                <w:rFonts w:cs="Times New Roman"/>
                <w:iCs/>
                <w:noProof/>
                <w:sz w:val="20"/>
                <w:szCs w:val="20"/>
              </w:rPr>
            </w:pPr>
            <w:r>
              <w:rPr>
                <w:rFonts w:cs="Times New Roman"/>
                <w:noProof/>
                <w:sz w:val="20"/>
                <w:szCs w:val="20"/>
                <w:lang w:val="hr"/>
              </w:rPr>
              <w:t>2021.</w:t>
            </w:r>
          </w:p>
        </w:tc>
        <w:tc>
          <w:tcPr>
            <w:tcW w:w="387" w:type="pct"/>
            <w:shd w:val="clear" w:color="auto" w:fill="auto"/>
          </w:tcPr>
          <w:p w14:paraId="470C4FCD" w14:textId="77777777" w:rsidR="00CB4EBF" w:rsidRPr="001C431F" w:rsidRDefault="00CB4EBF" w:rsidP="0054762C">
            <w:pPr>
              <w:spacing w:after="0" w:line="240" w:lineRule="auto"/>
              <w:jc w:val="center"/>
              <w:rPr>
                <w:rFonts w:cs="Times New Roman"/>
                <w:iCs/>
                <w:noProof/>
                <w:sz w:val="20"/>
                <w:szCs w:val="20"/>
              </w:rPr>
            </w:pPr>
            <w:r>
              <w:rPr>
                <w:rFonts w:cs="Times New Roman"/>
                <w:noProof/>
                <w:sz w:val="20"/>
                <w:szCs w:val="20"/>
                <w:lang w:val="hr"/>
              </w:rPr>
              <w:t>41</w:t>
            </w:r>
          </w:p>
        </w:tc>
        <w:tc>
          <w:tcPr>
            <w:tcW w:w="438" w:type="pct"/>
            <w:shd w:val="clear" w:color="auto" w:fill="auto"/>
          </w:tcPr>
          <w:p w14:paraId="3E5E4F0E" w14:textId="77777777" w:rsidR="00CB4EBF" w:rsidRPr="001C431F" w:rsidRDefault="00CB4EBF" w:rsidP="0054762C">
            <w:pPr>
              <w:spacing w:after="0" w:line="240" w:lineRule="auto"/>
              <w:rPr>
                <w:rFonts w:cs="Times New Roman"/>
                <w:iCs/>
                <w:noProof/>
                <w:sz w:val="20"/>
                <w:szCs w:val="20"/>
              </w:rPr>
            </w:pPr>
            <w:r>
              <w:rPr>
                <w:rFonts w:cs="Times New Roman"/>
                <w:noProof/>
                <w:sz w:val="20"/>
                <w:szCs w:val="20"/>
                <w:lang w:val="hr"/>
              </w:rPr>
              <w:t>Sustav praćenja upravljačkog tijela / istraživanje</w:t>
            </w:r>
          </w:p>
        </w:tc>
        <w:tc>
          <w:tcPr>
            <w:tcW w:w="587" w:type="pct"/>
          </w:tcPr>
          <w:p w14:paraId="430B8EEC" w14:textId="77777777" w:rsidR="00CB4EBF" w:rsidRPr="001C431F" w:rsidRDefault="00CB4EBF" w:rsidP="0054762C">
            <w:pPr>
              <w:spacing w:after="0"/>
              <w:rPr>
                <w:rFonts w:cs="Times New Roman"/>
                <w:iCs/>
                <w:noProof/>
                <w:sz w:val="20"/>
                <w:szCs w:val="20"/>
              </w:rPr>
            </w:pPr>
          </w:p>
        </w:tc>
      </w:tr>
    </w:tbl>
    <w:p w14:paraId="41DBD086"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p>
    <w:p w14:paraId="28DB72FB"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r>
        <w:rPr>
          <w:rFonts w:eastAsia="Times New Roman" w:cs="Times New Roman"/>
          <w:noProof/>
          <w:sz w:val="20"/>
          <w:szCs w:val="20"/>
          <w:lang w:val="hr"/>
        </w:rPr>
        <w:t>Glavne ciljne skupine</w:t>
      </w:r>
    </w:p>
    <w:p w14:paraId="05D6D9E9"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i/>
          <w:iCs/>
          <w:noProof/>
          <w:color w:val="000000"/>
          <w:sz w:val="20"/>
          <w:szCs w:val="20"/>
          <w:lang w:val="hr"/>
        </w:rPr>
        <w:lastRenderedPageBreak/>
        <w:t>Upućivanje: članak 17. stavak 3. točka (e) podtočka iii., članak 17. stavak 9. točka (c) podtočka iv.</w:t>
      </w:r>
    </w:p>
    <w:p w14:paraId="1E726124" w14:textId="77777777" w:rsidR="00CB4EBF" w:rsidRDefault="00CB4EBF" w:rsidP="00CB4EBF">
      <w:pPr>
        <w:keepNext/>
        <w:spacing w:after="0"/>
        <w:jc w:val="both"/>
        <w:rPr>
          <w:rFonts w:eastAsia="Times New Roman" w:cs="Times New Roman"/>
          <w:noProof/>
          <w:sz w:val="20"/>
          <w:szCs w:val="20"/>
        </w:rPr>
      </w:pPr>
      <w:r>
        <w:rPr>
          <w:rFonts w:eastAsia="Times New Roman" w:cs="Times New Roman"/>
          <w:noProof/>
          <w:color w:val="000000"/>
          <w:sz w:val="20"/>
          <w:szCs w:val="20"/>
          <w:lang w:val="hr"/>
        </w:rPr>
        <w:t xml:space="preserve">Djelovanje 1.: </w:t>
      </w:r>
      <w:r>
        <w:rPr>
          <w:rFonts w:eastAsia="Times New Roman" w:cs="Times New Roman"/>
          <w:noProof/>
          <w:sz w:val="20"/>
          <w:szCs w:val="20"/>
          <w:lang w:val="hr"/>
        </w:rPr>
        <w:t>ISO 1b Povećanjem učinkovitosti javne uprave s pomoću promicanja pravne i administrativne suradnje te suradnje između građana, aktera civilnog društva i institucija, osobito s ciljem rješavanja pravnih i drugih prepreka u pograničnim regijama.</w:t>
      </w:r>
    </w:p>
    <w:p w14:paraId="25055CF9" w14:textId="77777777" w:rsidR="00CB4EBF" w:rsidRPr="001C431F" w:rsidRDefault="00CB4EBF" w:rsidP="00CB4EBF">
      <w:pPr>
        <w:keepNext/>
        <w:spacing w:after="0"/>
        <w:jc w:val="both"/>
        <w:rPr>
          <w:rFonts w:eastAsia="Times New Roman" w:cs="Times New Roman"/>
          <w:noProof/>
          <w:sz w:val="20"/>
          <w:szCs w:val="20"/>
        </w:rPr>
      </w:pPr>
    </w:p>
    <w:p w14:paraId="59CC8D74" w14:textId="77777777" w:rsidR="00CB4EBF" w:rsidRPr="001C431F" w:rsidRDefault="00CB4EBF" w:rsidP="00CB4EBF">
      <w:pPr>
        <w:keepNext/>
        <w:spacing w:after="0"/>
        <w:jc w:val="both"/>
        <w:rPr>
          <w:rFonts w:eastAsia="Times New Roman" w:cs="Times New Roman"/>
          <w:noProof/>
          <w:sz w:val="20"/>
          <w:szCs w:val="20"/>
        </w:rPr>
      </w:pPr>
      <w:r>
        <w:rPr>
          <w:rFonts w:eastAsia="Times New Roman" w:cs="Times New Roman"/>
          <w:noProof/>
          <w:sz w:val="20"/>
          <w:szCs w:val="20"/>
          <w:lang w:val="hr"/>
        </w:rPr>
        <w:t>Izravne ciljne skupine (okvirni popis potencijalnih korisnika)</w:t>
      </w:r>
    </w:p>
    <w:p w14:paraId="175B828B" w14:textId="77777777" w:rsidR="00CB4EBF" w:rsidRPr="00A51DC3" w:rsidRDefault="00CB4EBF" w:rsidP="00CB4EBF">
      <w:pPr>
        <w:pStyle w:val="ListParagraph"/>
        <w:keepNext/>
        <w:numPr>
          <w:ilvl w:val="0"/>
          <w:numId w:val="29"/>
        </w:numPr>
        <w:spacing w:after="0"/>
        <w:jc w:val="both"/>
        <w:rPr>
          <w:rFonts w:eastAsia="Times New Roman" w:cs="Times New Roman"/>
          <w:iCs/>
          <w:noProof/>
          <w:color w:val="000000"/>
          <w:sz w:val="20"/>
          <w:szCs w:val="20"/>
        </w:rPr>
      </w:pPr>
      <w:r>
        <w:rPr>
          <w:rFonts w:eastAsia="Times New Roman" w:cs="Times New Roman"/>
          <w:noProof/>
          <w:color w:val="000000"/>
          <w:sz w:val="20"/>
          <w:szCs w:val="20"/>
          <w:lang w:val="hr"/>
        </w:rPr>
        <w:t>lokalna, regionalna i nacionalna tijela javne vlasti i njihove institucije;</w:t>
      </w:r>
    </w:p>
    <w:p w14:paraId="2CABDB73" w14:textId="77777777" w:rsidR="00CB4EBF" w:rsidRPr="00B723CC" w:rsidRDefault="00CB4EBF" w:rsidP="00CB4EBF">
      <w:pPr>
        <w:pStyle w:val="ListParagraph"/>
        <w:keepNext/>
        <w:numPr>
          <w:ilvl w:val="0"/>
          <w:numId w:val="29"/>
        </w:numPr>
        <w:spacing w:after="0"/>
        <w:jc w:val="both"/>
        <w:rPr>
          <w:rFonts w:eastAsia="Times New Roman" w:cs="Times New Roman"/>
          <w:iCs/>
          <w:noProof/>
          <w:color w:val="000000"/>
          <w:sz w:val="20"/>
          <w:szCs w:val="20"/>
        </w:rPr>
      </w:pPr>
      <w:r>
        <w:rPr>
          <w:rFonts w:eastAsia="Times New Roman" w:cs="Times New Roman"/>
          <w:noProof/>
          <w:color w:val="000000"/>
          <w:sz w:val="20"/>
          <w:szCs w:val="20"/>
          <w:lang w:val="hr"/>
        </w:rPr>
        <w:t>lokalne, regionalne i nacionalne institucije, državna tijela koja se nalaze na programskom području;</w:t>
      </w:r>
    </w:p>
    <w:p w14:paraId="580E9328" w14:textId="77777777" w:rsidR="00CB4EBF" w:rsidRDefault="00CB4EBF" w:rsidP="00CB4EBF">
      <w:pPr>
        <w:pStyle w:val="ListParagraph"/>
        <w:keepNext/>
        <w:numPr>
          <w:ilvl w:val="0"/>
          <w:numId w:val="29"/>
        </w:numPr>
        <w:spacing w:after="0"/>
        <w:jc w:val="both"/>
        <w:rPr>
          <w:rFonts w:eastAsia="Times New Roman" w:cs="Times New Roman"/>
          <w:iCs/>
          <w:noProof/>
          <w:color w:val="000000"/>
          <w:sz w:val="20"/>
          <w:szCs w:val="20"/>
        </w:rPr>
      </w:pPr>
      <w:r>
        <w:rPr>
          <w:rFonts w:eastAsia="Times New Roman" w:cs="Times New Roman"/>
          <w:noProof/>
          <w:color w:val="000000"/>
          <w:sz w:val="20"/>
          <w:szCs w:val="20"/>
          <w:lang w:val="hr"/>
        </w:rPr>
        <w:t>organizacije tržišta rada, zdravstvene i socijalne ustanove;</w:t>
      </w:r>
    </w:p>
    <w:p w14:paraId="42305134" w14:textId="77777777" w:rsidR="00CB4EBF" w:rsidRPr="00A51DC3" w:rsidRDefault="00CB4EBF" w:rsidP="00CB4EBF">
      <w:pPr>
        <w:pStyle w:val="ListParagraph"/>
        <w:keepNext/>
        <w:numPr>
          <w:ilvl w:val="0"/>
          <w:numId w:val="29"/>
        </w:numPr>
        <w:spacing w:after="0"/>
        <w:jc w:val="both"/>
        <w:rPr>
          <w:rFonts w:eastAsia="Times New Roman" w:cs="Times New Roman"/>
          <w:iCs/>
          <w:noProof/>
          <w:color w:val="000000"/>
          <w:sz w:val="20"/>
          <w:szCs w:val="20"/>
        </w:rPr>
      </w:pPr>
      <w:r>
        <w:rPr>
          <w:rFonts w:eastAsia="Times New Roman" w:cs="Times New Roman"/>
          <w:noProof/>
          <w:color w:val="000000"/>
          <w:sz w:val="20"/>
          <w:szCs w:val="20"/>
          <w:lang w:val="hr"/>
        </w:rPr>
        <w:t>institucije za poslovnu potporu;</w:t>
      </w:r>
    </w:p>
    <w:p w14:paraId="52A81267" w14:textId="77777777" w:rsidR="00CB4EBF" w:rsidRPr="007B76F3" w:rsidRDefault="00CB4EBF" w:rsidP="00CB4EBF">
      <w:pPr>
        <w:pStyle w:val="ListParagraph"/>
        <w:keepNext/>
        <w:numPr>
          <w:ilvl w:val="0"/>
          <w:numId w:val="29"/>
        </w:numPr>
        <w:spacing w:after="0"/>
        <w:jc w:val="both"/>
        <w:rPr>
          <w:rFonts w:eastAsia="Times New Roman" w:cs="Times New Roman"/>
          <w:noProof/>
          <w:sz w:val="20"/>
          <w:szCs w:val="20"/>
        </w:rPr>
      </w:pPr>
      <w:r>
        <w:rPr>
          <w:rFonts w:eastAsia="Times New Roman" w:cs="Times New Roman"/>
          <w:noProof/>
          <w:color w:val="000000"/>
          <w:sz w:val="20"/>
          <w:szCs w:val="20"/>
          <w:lang w:val="hr"/>
        </w:rPr>
        <w:t>tijela za upravljanje prometnom infrastrukturom, organizacije za javni prijevoz;</w:t>
      </w:r>
    </w:p>
    <w:p w14:paraId="14D6E372" w14:textId="77777777" w:rsidR="00CB4EBF" w:rsidRPr="0090125E" w:rsidRDefault="00CB4EBF" w:rsidP="00CB4EBF">
      <w:pPr>
        <w:keepNext/>
        <w:spacing w:after="0"/>
        <w:jc w:val="both"/>
        <w:rPr>
          <w:rFonts w:eastAsia="Times New Roman" w:cs="Times New Roman"/>
          <w:noProof/>
          <w:sz w:val="20"/>
          <w:szCs w:val="20"/>
        </w:rPr>
      </w:pPr>
    </w:p>
    <w:p w14:paraId="12E040B8" w14:textId="77777777" w:rsidR="00CB4EBF" w:rsidRPr="001C431F" w:rsidRDefault="00CB4EBF" w:rsidP="00CB4EBF">
      <w:pPr>
        <w:keepNext/>
        <w:spacing w:after="0"/>
        <w:jc w:val="both"/>
        <w:rPr>
          <w:rFonts w:eastAsia="Times New Roman" w:cs="Times New Roman"/>
          <w:noProof/>
          <w:sz w:val="20"/>
          <w:szCs w:val="20"/>
        </w:rPr>
      </w:pPr>
      <w:r>
        <w:rPr>
          <w:rFonts w:eastAsia="Times New Roman" w:cs="Times New Roman"/>
          <w:noProof/>
          <w:sz w:val="20"/>
          <w:szCs w:val="20"/>
          <w:lang w:val="hr"/>
        </w:rPr>
        <w:t>Neizravne ciljne skupine:</w:t>
      </w:r>
    </w:p>
    <w:p w14:paraId="401F7E14" w14:textId="77777777" w:rsidR="00CB4EBF" w:rsidRPr="00B723CC" w:rsidRDefault="00CB4EBF" w:rsidP="00CB4EBF">
      <w:pPr>
        <w:pStyle w:val="ListParagraph"/>
        <w:keepNext/>
        <w:numPr>
          <w:ilvl w:val="0"/>
          <w:numId w:val="30"/>
        </w:numPr>
        <w:spacing w:after="0"/>
        <w:jc w:val="both"/>
        <w:rPr>
          <w:rFonts w:eastAsia="Times New Roman" w:cs="Times New Roman"/>
          <w:noProof/>
          <w:color w:val="000000"/>
          <w:sz w:val="20"/>
          <w:szCs w:val="20"/>
        </w:rPr>
      </w:pPr>
      <w:r>
        <w:rPr>
          <w:rFonts w:eastAsia="Times New Roman" w:cs="Times New Roman"/>
          <w:noProof/>
          <w:color w:val="000000"/>
          <w:sz w:val="20"/>
          <w:szCs w:val="20"/>
          <w:lang w:val="hr"/>
        </w:rPr>
        <w:t>osoblje lokalnih i nacionalnih institucija i tijela koja se nalaze u programskom području (uključujući regionalne i sektorske razvojne agencije i organizacije zadužene za očuvanje prirode i upravljanje vodama u regiji);</w:t>
      </w:r>
    </w:p>
    <w:p w14:paraId="133497B1" w14:textId="77777777" w:rsidR="00CB4EBF" w:rsidRPr="00B723CC" w:rsidRDefault="00CB4EBF" w:rsidP="00CB4EBF">
      <w:pPr>
        <w:pStyle w:val="ListParagraph"/>
        <w:numPr>
          <w:ilvl w:val="0"/>
          <w:numId w:val="30"/>
        </w:numPr>
        <w:spacing w:after="0"/>
        <w:jc w:val="both"/>
        <w:rPr>
          <w:rFonts w:eastAsia="Times New Roman" w:cs="Times New Roman"/>
          <w:noProof/>
          <w:color w:val="000000"/>
          <w:sz w:val="20"/>
          <w:szCs w:val="20"/>
        </w:rPr>
      </w:pPr>
      <w:r>
        <w:rPr>
          <w:rFonts w:eastAsia="Times New Roman" w:cs="Times New Roman"/>
          <w:noProof/>
          <w:color w:val="000000"/>
          <w:sz w:val="20"/>
          <w:szCs w:val="20"/>
          <w:lang w:val="hr"/>
        </w:rPr>
        <w:t>osoblje lokalnih, županijskih i regionalnih uprava i njihovih poduzeća;</w:t>
      </w:r>
    </w:p>
    <w:p w14:paraId="63AC0D48" w14:textId="77777777" w:rsidR="00CB4EBF" w:rsidRPr="00B723CC" w:rsidRDefault="00CB4EBF" w:rsidP="00CB4EBF">
      <w:pPr>
        <w:pStyle w:val="ListParagraph"/>
        <w:numPr>
          <w:ilvl w:val="0"/>
          <w:numId w:val="30"/>
        </w:numPr>
        <w:spacing w:after="0"/>
        <w:jc w:val="both"/>
        <w:rPr>
          <w:rFonts w:eastAsia="Times New Roman" w:cs="Times New Roman"/>
          <w:noProof/>
          <w:color w:val="000000"/>
          <w:sz w:val="20"/>
          <w:szCs w:val="20"/>
        </w:rPr>
      </w:pPr>
      <w:r>
        <w:rPr>
          <w:rFonts w:eastAsia="Times New Roman" w:cs="Times New Roman"/>
          <w:noProof/>
          <w:color w:val="000000"/>
          <w:sz w:val="20"/>
          <w:szCs w:val="20"/>
          <w:lang w:val="hr"/>
        </w:rPr>
        <w:t>stanovništvo pogranične regije.</w:t>
      </w:r>
    </w:p>
    <w:p w14:paraId="5A8674E5" w14:textId="77777777" w:rsidR="00CB4EBF" w:rsidRPr="001C431F" w:rsidRDefault="00CB4EBF" w:rsidP="00CB4EBF">
      <w:pPr>
        <w:spacing w:after="0"/>
        <w:jc w:val="both"/>
        <w:rPr>
          <w:rFonts w:eastAsia="Times New Roman" w:cs="Times New Roman"/>
          <w:iCs/>
          <w:noProof/>
          <w:color w:val="000000"/>
          <w:sz w:val="20"/>
          <w:szCs w:val="20"/>
        </w:rPr>
      </w:pPr>
    </w:p>
    <w:p w14:paraId="733F6B0D" w14:textId="77777777" w:rsidR="00CB4EBF" w:rsidRPr="001C431F" w:rsidRDefault="00CB4EBF" w:rsidP="00CB4EBF">
      <w:pPr>
        <w:keepNext/>
        <w:spacing w:after="0"/>
        <w:jc w:val="both"/>
        <w:rPr>
          <w:rFonts w:eastAsia="Times New Roman" w:cs="Times New Roman"/>
          <w:noProof/>
          <w:sz w:val="20"/>
          <w:szCs w:val="20"/>
        </w:rPr>
      </w:pPr>
      <w:r>
        <w:rPr>
          <w:rFonts w:eastAsia="Times New Roman" w:cs="Times New Roman"/>
          <w:noProof/>
          <w:color w:val="000000"/>
          <w:sz w:val="20"/>
          <w:szCs w:val="20"/>
          <w:lang w:val="hr"/>
        </w:rPr>
        <w:t xml:space="preserve">Djelovanje 2.: </w:t>
      </w:r>
      <w:r>
        <w:rPr>
          <w:rFonts w:eastAsia="Times New Roman" w:cs="Times New Roman"/>
          <w:noProof/>
          <w:sz w:val="20"/>
          <w:szCs w:val="20"/>
          <w:lang w:val="hr"/>
        </w:rPr>
        <w:t>ISO 1c Izgradnja uzajamnog povjerenja, osobito poticanjem djelovanja „od građana za građane”</w:t>
      </w:r>
    </w:p>
    <w:p w14:paraId="62FAC735" w14:textId="77777777" w:rsidR="00CB4EBF" w:rsidRDefault="00CB4EBF" w:rsidP="00CB4EBF">
      <w:pPr>
        <w:keepNext/>
        <w:spacing w:after="0"/>
        <w:jc w:val="both"/>
        <w:rPr>
          <w:rFonts w:eastAsia="Times New Roman" w:cs="Times New Roman"/>
          <w:noProof/>
          <w:sz w:val="20"/>
          <w:szCs w:val="20"/>
        </w:rPr>
      </w:pPr>
    </w:p>
    <w:p w14:paraId="49B93543" w14:textId="77777777" w:rsidR="00CB4EBF" w:rsidRPr="0090125E" w:rsidRDefault="00CB4EBF" w:rsidP="00CB4EBF">
      <w:pPr>
        <w:spacing w:after="0"/>
        <w:jc w:val="both"/>
        <w:rPr>
          <w:rFonts w:eastAsia="Times New Roman" w:cs="Times New Roman"/>
          <w:noProof/>
          <w:sz w:val="20"/>
          <w:szCs w:val="20"/>
        </w:rPr>
      </w:pPr>
      <w:r>
        <w:rPr>
          <w:rFonts w:eastAsia="Times New Roman" w:cs="Times New Roman"/>
          <w:noProof/>
          <w:sz w:val="20"/>
          <w:szCs w:val="20"/>
          <w:lang w:val="hr"/>
        </w:rPr>
        <w:t>Izravne ciljne skupine (okvirni popis potencijalnih korisnika)</w:t>
      </w:r>
    </w:p>
    <w:p w14:paraId="613D3297" w14:textId="77777777" w:rsidR="00CB4EBF" w:rsidRPr="001C431F" w:rsidRDefault="00CB4EBF" w:rsidP="00CB4EBF">
      <w:pPr>
        <w:pStyle w:val="ListParagraph"/>
        <w:numPr>
          <w:ilvl w:val="0"/>
          <w:numId w:val="6"/>
        </w:numPr>
        <w:spacing w:after="0"/>
        <w:jc w:val="both"/>
        <w:rPr>
          <w:rFonts w:eastAsia="Times New Roman" w:cs="Times New Roman"/>
          <w:noProof/>
          <w:sz w:val="20"/>
          <w:szCs w:val="20"/>
        </w:rPr>
      </w:pPr>
      <w:r>
        <w:rPr>
          <w:rFonts w:eastAsia="Times New Roman" w:cs="Times New Roman"/>
          <w:noProof/>
          <w:sz w:val="20"/>
          <w:szCs w:val="20"/>
          <w:lang w:val="hr"/>
        </w:rPr>
        <w:t>Civilne organizacije (nevladine organizacije);</w:t>
      </w:r>
    </w:p>
    <w:p w14:paraId="03CAB03D" w14:textId="77777777" w:rsidR="00CB4EBF" w:rsidRPr="001C431F" w:rsidRDefault="00CB4EBF" w:rsidP="00CB4EBF">
      <w:pPr>
        <w:pStyle w:val="ListParagraph"/>
        <w:numPr>
          <w:ilvl w:val="0"/>
          <w:numId w:val="6"/>
        </w:numPr>
        <w:spacing w:after="0"/>
        <w:jc w:val="both"/>
        <w:rPr>
          <w:rFonts w:eastAsia="Times New Roman" w:cs="Times New Roman"/>
          <w:noProof/>
          <w:sz w:val="20"/>
          <w:szCs w:val="20"/>
        </w:rPr>
      </w:pPr>
      <w:r>
        <w:rPr>
          <w:rFonts w:eastAsia="Times New Roman" w:cs="Times New Roman"/>
          <w:noProof/>
          <w:sz w:val="20"/>
          <w:szCs w:val="20"/>
          <w:lang w:val="hr"/>
        </w:rPr>
        <w:t>Kulturne i umjetničke udruge;</w:t>
      </w:r>
    </w:p>
    <w:p w14:paraId="11D7BE6C" w14:textId="77777777" w:rsidR="00CB4EBF" w:rsidRPr="001C431F" w:rsidRDefault="00CB4EBF" w:rsidP="00CB4EBF">
      <w:pPr>
        <w:pStyle w:val="ListParagraph"/>
        <w:numPr>
          <w:ilvl w:val="0"/>
          <w:numId w:val="6"/>
        </w:numPr>
        <w:spacing w:after="0"/>
        <w:jc w:val="both"/>
        <w:rPr>
          <w:rFonts w:eastAsia="Times New Roman" w:cs="Times New Roman"/>
          <w:noProof/>
          <w:sz w:val="20"/>
          <w:szCs w:val="20"/>
        </w:rPr>
      </w:pPr>
      <w:r>
        <w:rPr>
          <w:rFonts w:eastAsia="Times New Roman" w:cs="Times New Roman"/>
          <w:noProof/>
          <w:sz w:val="20"/>
          <w:szCs w:val="20"/>
          <w:lang w:val="hr"/>
        </w:rPr>
        <w:t>Crkvene organizacije;</w:t>
      </w:r>
    </w:p>
    <w:p w14:paraId="1CB0F9CC" w14:textId="77777777" w:rsidR="00CB4EBF" w:rsidRPr="001C431F" w:rsidRDefault="00CB4EBF" w:rsidP="00CB4EBF">
      <w:pPr>
        <w:pStyle w:val="ListParagraph"/>
        <w:numPr>
          <w:ilvl w:val="0"/>
          <w:numId w:val="6"/>
        </w:numPr>
        <w:spacing w:after="0"/>
        <w:jc w:val="both"/>
        <w:rPr>
          <w:rFonts w:eastAsia="Times New Roman" w:cs="Times New Roman"/>
          <w:noProof/>
          <w:sz w:val="20"/>
          <w:szCs w:val="20"/>
        </w:rPr>
      </w:pPr>
      <w:r>
        <w:rPr>
          <w:rFonts w:eastAsia="Times New Roman" w:cs="Times New Roman"/>
          <w:noProof/>
          <w:sz w:val="20"/>
          <w:szCs w:val="20"/>
          <w:lang w:val="hr"/>
        </w:rPr>
        <w:t>Organizacije manjina (uključujući uprave za manjine);</w:t>
      </w:r>
    </w:p>
    <w:p w14:paraId="4C6BC24D" w14:textId="77777777" w:rsidR="00CB4EBF" w:rsidRPr="001C431F" w:rsidRDefault="00CB4EBF" w:rsidP="00CB4EBF">
      <w:pPr>
        <w:pStyle w:val="ListParagraph"/>
        <w:numPr>
          <w:ilvl w:val="0"/>
          <w:numId w:val="6"/>
        </w:numPr>
        <w:spacing w:after="0"/>
        <w:jc w:val="both"/>
        <w:rPr>
          <w:rFonts w:eastAsia="Times New Roman" w:cs="Times New Roman"/>
          <w:noProof/>
          <w:sz w:val="20"/>
          <w:szCs w:val="20"/>
        </w:rPr>
      </w:pPr>
      <w:r>
        <w:rPr>
          <w:rFonts w:eastAsia="Times New Roman" w:cs="Times New Roman"/>
          <w:noProof/>
          <w:sz w:val="20"/>
          <w:szCs w:val="20"/>
          <w:lang w:val="hr"/>
        </w:rPr>
        <w:t>Sportske udruge, klubovi;</w:t>
      </w:r>
    </w:p>
    <w:p w14:paraId="5D09F0D8" w14:textId="77777777" w:rsidR="00CB4EBF" w:rsidRPr="001C431F" w:rsidRDefault="00CB4EBF" w:rsidP="00CB4EBF">
      <w:pPr>
        <w:pStyle w:val="ListParagraph"/>
        <w:numPr>
          <w:ilvl w:val="0"/>
          <w:numId w:val="6"/>
        </w:numPr>
        <w:spacing w:after="0"/>
        <w:jc w:val="both"/>
        <w:rPr>
          <w:rFonts w:eastAsia="Times New Roman" w:cs="Times New Roman"/>
          <w:noProof/>
          <w:sz w:val="20"/>
          <w:szCs w:val="20"/>
        </w:rPr>
      </w:pPr>
      <w:r>
        <w:rPr>
          <w:rFonts w:eastAsia="Times New Roman" w:cs="Times New Roman"/>
          <w:noProof/>
          <w:sz w:val="20"/>
          <w:szCs w:val="20"/>
          <w:lang w:val="hr"/>
        </w:rPr>
        <w:t>Organizacije mladih;</w:t>
      </w:r>
    </w:p>
    <w:p w14:paraId="61696562" w14:textId="77777777" w:rsidR="00CB4EBF" w:rsidRDefault="00CB4EBF" w:rsidP="00CB4EBF">
      <w:pPr>
        <w:pStyle w:val="ListParagraph"/>
        <w:numPr>
          <w:ilvl w:val="0"/>
          <w:numId w:val="6"/>
        </w:numPr>
        <w:spacing w:after="0"/>
        <w:jc w:val="both"/>
        <w:rPr>
          <w:rFonts w:eastAsia="Times New Roman" w:cs="Times New Roman"/>
          <w:noProof/>
          <w:sz w:val="20"/>
          <w:szCs w:val="20"/>
        </w:rPr>
      </w:pPr>
      <w:r>
        <w:rPr>
          <w:rFonts w:eastAsia="Times New Roman" w:cs="Times New Roman"/>
          <w:noProof/>
          <w:sz w:val="20"/>
          <w:szCs w:val="20"/>
          <w:lang w:val="hr"/>
        </w:rPr>
        <w:t>Lokalne i regionalne javne vlasti i njihove institucije;</w:t>
      </w:r>
    </w:p>
    <w:p w14:paraId="2363556B" w14:textId="77777777" w:rsidR="00CB4EBF" w:rsidRDefault="00CB4EBF" w:rsidP="00CB4EBF">
      <w:pPr>
        <w:spacing w:after="0"/>
        <w:jc w:val="both"/>
        <w:rPr>
          <w:rFonts w:eastAsia="Times New Roman" w:cs="Times New Roman"/>
          <w:noProof/>
          <w:sz w:val="20"/>
          <w:szCs w:val="20"/>
        </w:rPr>
      </w:pPr>
    </w:p>
    <w:p w14:paraId="34D0A42B" w14:textId="77777777" w:rsidR="00CB4EBF" w:rsidRPr="001C431F" w:rsidRDefault="00CB4EBF" w:rsidP="00CB4EBF">
      <w:pPr>
        <w:spacing w:after="0"/>
        <w:jc w:val="both"/>
        <w:rPr>
          <w:rFonts w:eastAsia="Times New Roman" w:cs="Times New Roman"/>
          <w:noProof/>
          <w:sz w:val="20"/>
          <w:szCs w:val="20"/>
        </w:rPr>
      </w:pPr>
      <w:r>
        <w:rPr>
          <w:rFonts w:eastAsia="Times New Roman" w:cs="Times New Roman"/>
          <w:noProof/>
          <w:sz w:val="20"/>
          <w:szCs w:val="20"/>
          <w:lang w:val="hr"/>
        </w:rPr>
        <w:t>Neizravne ciljne skupine: opće stanovništvo pograničnog područja.</w:t>
      </w:r>
    </w:p>
    <w:p w14:paraId="4336C53C"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p>
    <w:p w14:paraId="273970CE"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r>
        <w:rPr>
          <w:rFonts w:eastAsia="Times New Roman" w:cs="Times New Roman"/>
          <w:b/>
          <w:bCs/>
          <w:noProof/>
          <w:sz w:val="20"/>
          <w:szCs w:val="20"/>
          <w:lang w:val="hr"/>
        </w:rPr>
        <w:t>Posebna ciljna područja, uključujući planiranu upotrebu ITI-ja, CLLD-a ili drugih teritorijalnih alata</w:t>
      </w:r>
    </w:p>
    <w:p w14:paraId="61A958CA"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i/>
          <w:iCs/>
          <w:noProof/>
          <w:color w:val="000000"/>
          <w:sz w:val="20"/>
          <w:szCs w:val="20"/>
          <w:lang w:val="hr"/>
        </w:rPr>
        <w:t>Upućivanje: članak 17. stavak 3. točka (e) podtočka iv.</w:t>
      </w:r>
    </w:p>
    <w:p w14:paraId="38C021F0" w14:textId="77777777" w:rsidR="00CB4EBF" w:rsidRPr="001C431F" w:rsidRDefault="00CB4EBF" w:rsidP="00CB4EBF">
      <w:pPr>
        <w:keepNext/>
        <w:spacing w:after="0"/>
        <w:jc w:val="both"/>
        <w:rPr>
          <w:rFonts w:eastAsia="Times New Roman" w:cs="Times New Roman"/>
          <w:iCs/>
          <w:noProof/>
          <w:color w:val="000000"/>
          <w:sz w:val="20"/>
          <w:szCs w:val="20"/>
        </w:rPr>
      </w:pPr>
      <w:r>
        <w:rPr>
          <w:rFonts w:eastAsia="Times New Roman" w:cs="Times New Roman"/>
          <w:noProof/>
          <w:color w:val="000000"/>
          <w:sz w:val="20"/>
          <w:szCs w:val="20"/>
          <w:lang w:val="hr"/>
        </w:rPr>
        <w:t>Neće se upotrebljavati teritorijalni alati.</w:t>
      </w:r>
    </w:p>
    <w:p w14:paraId="3DE2C4E3"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p>
    <w:p w14:paraId="3FA803FE"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r>
        <w:rPr>
          <w:rFonts w:eastAsia="Times New Roman" w:cs="Times New Roman"/>
          <w:b/>
          <w:bCs/>
          <w:noProof/>
          <w:sz w:val="20"/>
          <w:szCs w:val="20"/>
          <w:lang w:val="hr"/>
        </w:rPr>
        <w:t>Planirana upotreba financijskih instrumenata</w:t>
      </w:r>
    </w:p>
    <w:p w14:paraId="2BAE04B6"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i/>
          <w:iCs/>
          <w:noProof/>
          <w:color w:val="000000"/>
          <w:sz w:val="20"/>
          <w:szCs w:val="20"/>
          <w:lang w:val="hr"/>
        </w:rPr>
        <w:t>Upućivanje: članak 17. stavak 3. točka (e) podtočka v.</w:t>
      </w:r>
    </w:p>
    <w:p w14:paraId="4DF78100" w14:textId="77777777" w:rsidR="00CB4EBF" w:rsidRPr="001C431F" w:rsidRDefault="00CB4EBF" w:rsidP="00CB4EBF">
      <w:pPr>
        <w:keepNext/>
        <w:spacing w:after="0"/>
        <w:jc w:val="both"/>
        <w:rPr>
          <w:rFonts w:eastAsia="Times New Roman" w:cs="Times New Roman"/>
          <w:iCs/>
          <w:noProof/>
          <w:color w:val="000000"/>
          <w:sz w:val="20"/>
          <w:szCs w:val="20"/>
        </w:rPr>
      </w:pPr>
      <w:r>
        <w:rPr>
          <w:rFonts w:eastAsia="Times New Roman" w:cs="Times New Roman"/>
          <w:noProof/>
          <w:color w:val="000000"/>
          <w:sz w:val="20"/>
          <w:szCs w:val="20"/>
          <w:lang w:val="hr"/>
        </w:rPr>
        <w:t>Neće se upotrebljavati financijski instrumenti.</w:t>
      </w:r>
    </w:p>
    <w:p w14:paraId="2B1CB066"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p>
    <w:p w14:paraId="06A7F2E7"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r>
        <w:rPr>
          <w:rFonts w:eastAsia="Times New Roman" w:cs="Times New Roman"/>
          <w:b/>
          <w:bCs/>
          <w:noProof/>
          <w:sz w:val="20"/>
          <w:szCs w:val="20"/>
          <w:lang w:val="hr"/>
        </w:rPr>
        <w:t>Okvirna raščlamba sredstava programa EU-a prema vrsti intervencije</w:t>
      </w:r>
    </w:p>
    <w:p w14:paraId="741E4415" w14:textId="77777777" w:rsidR="00CB4EBF" w:rsidRPr="001C431F" w:rsidRDefault="00CB4EBF" w:rsidP="00CB4EBF">
      <w:pPr>
        <w:spacing w:after="0" w:line="240" w:lineRule="auto"/>
        <w:jc w:val="both"/>
        <w:rPr>
          <w:rFonts w:cs="Times New Roman"/>
          <w:i/>
          <w:color w:val="000000"/>
          <w:sz w:val="20"/>
          <w:szCs w:val="20"/>
        </w:rPr>
      </w:pPr>
      <w:r>
        <w:rPr>
          <w:rFonts w:cs="Times New Roman"/>
          <w:i/>
          <w:iCs/>
          <w:color w:val="000000"/>
          <w:sz w:val="20"/>
          <w:szCs w:val="20"/>
          <w:lang w:val="hr"/>
        </w:rPr>
        <w:t xml:space="preserve">Upućivanje: </w:t>
      </w:r>
      <w:r>
        <w:rPr>
          <w:rFonts w:cs="Times New Roman"/>
          <w:i/>
          <w:iCs/>
          <w:noProof/>
          <w:color w:val="000000"/>
          <w:sz w:val="20"/>
          <w:szCs w:val="20"/>
          <w:lang w:val="hr"/>
        </w:rPr>
        <w:t>članak 17. stavak 3. točka (e) podtočka vi., članak 17. stavak 9. točka (c) podtočka v.</w:t>
      </w:r>
    </w:p>
    <w:p w14:paraId="4826D45C" w14:textId="77777777" w:rsidR="00CB4EBF" w:rsidRPr="0090125E" w:rsidRDefault="00CB4EBF" w:rsidP="00CB4EBF">
      <w:pPr>
        <w:spacing w:after="0" w:line="240" w:lineRule="auto"/>
        <w:jc w:val="both"/>
        <w:rPr>
          <w:rFonts w:eastAsia="Times New Roman" w:cs="Times New Roman"/>
          <w:iCs/>
          <w:noProof/>
          <w:sz w:val="20"/>
          <w:szCs w:val="20"/>
        </w:rPr>
      </w:pPr>
    </w:p>
    <w:p w14:paraId="14ADBBA5"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noProof/>
          <w:sz w:val="20"/>
          <w:szCs w:val="20"/>
          <w:lang w:val="hr"/>
        </w:rPr>
        <w:t>Tablica 4.: Dimenzija 1. – područje intervencije</w:t>
      </w:r>
    </w:p>
    <w:tbl>
      <w:tblPr>
        <w:tblStyle w:val="TableGrid"/>
        <w:tblW w:w="0" w:type="auto"/>
        <w:tblLook w:val="04A0" w:firstRow="1" w:lastRow="0" w:firstColumn="1" w:lastColumn="0" w:noHBand="0" w:noVBand="1"/>
      </w:tblPr>
      <w:tblGrid>
        <w:gridCol w:w="1820"/>
        <w:gridCol w:w="1605"/>
        <w:gridCol w:w="1851"/>
        <w:gridCol w:w="1201"/>
        <w:gridCol w:w="2583"/>
      </w:tblGrid>
      <w:tr w:rsidR="00CB4EBF" w:rsidRPr="00A23750" w14:paraId="5889F7CD" w14:textId="77777777" w:rsidTr="0054762C">
        <w:tc>
          <w:tcPr>
            <w:tcW w:w="1870" w:type="dxa"/>
          </w:tcPr>
          <w:p w14:paraId="680463D5"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Prioritet br.</w:t>
            </w:r>
          </w:p>
        </w:tc>
        <w:tc>
          <w:tcPr>
            <w:tcW w:w="1657" w:type="dxa"/>
          </w:tcPr>
          <w:p w14:paraId="0B76D9BE"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Fond</w:t>
            </w:r>
          </w:p>
        </w:tc>
        <w:tc>
          <w:tcPr>
            <w:tcW w:w="1898" w:type="dxa"/>
          </w:tcPr>
          <w:p w14:paraId="698C0F0F"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Specifični cilj</w:t>
            </w:r>
          </w:p>
        </w:tc>
        <w:tc>
          <w:tcPr>
            <w:tcW w:w="1204" w:type="dxa"/>
          </w:tcPr>
          <w:p w14:paraId="3D2AA5C4"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 xml:space="preserve">Oznaka </w:t>
            </w:r>
          </w:p>
        </w:tc>
        <w:tc>
          <w:tcPr>
            <w:tcW w:w="2659" w:type="dxa"/>
          </w:tcPr>
          <w:p w14:paraId="28261896"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Iznos (EUR)</w:t>
            </w:r>
          </w:p>
        </w:tc>
      </w:tr>
      <w:tr w:rsidR="00CB4EBF" w:rsidRPr="00A23750" w14:paraId="6346A239" w14:textId="77777777" w:rsidTr="0054762C">
        <w:tc>
          <w:tcPr>
            <w:tcW w:w="1870" w:type="dxa"/>
          </w:tcPr>
          <w:p w14:paraId="3FF44DFD"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4</w:t>
            </w:r>
          </w:p>
        </w:tc>
        <w:tc>
          <w:tcPr>
            <w:tcW w:w="1657" w:type="dxa"/>
          </w:tcPr>
          <w:p w14:paraId="1A60A693"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EFRR</w:t>
            </w:r>
          </w:p>
        </w:tc>
        <w:tc>
          <w:tcPr>
            <w:tcW w:w="1898" w:type="dxa"/>
          </w:tcPr>
          <w:p w14:paraId="08E309B5"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ISO1</w:t>
            </w:r>
          </w:p>
        </w:tc>
        <w:tc>
          <w:tcPr>
            <w:tcW w:w="1204" w:type="dxa"/>
          </w:tcPr>
          <w:p w14:paraId="08F80FFE"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171 Poboljšanje suradnje s partnerima u državi članici i izvan nje</w:t>
            </w:r>
          </w:p>
        </w:tc>
        <w:tc>
          <w:tcPr>
            <w:tcW w:w="2659" w:type="dxa"/>
          </w:tcPr>
          <w:p w14:paraId="2F8A2F55"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5 235 364,49</w:t>
            </w:r>
          </w:p>
        </w:tc>
      </w:tr>
    </w:tbl>
    <w:p w14:paraId="27CA5673" w14:textId="77777777" w:rsidR="00CB4EBF" w:rsidRPr="001C431F" w:rsidRDefault="00CB4EBF" w:rsidP="00CB4EBF">
      <w:pPr>
        <w:spacing w:after="0" w:line="240" w:lineRule="auto"/>
        <w:jc w:val="both"/>
        <w:rPr>
          <w:rFonts w:eastAsia="Times New Roman" w:cs="Times New Roman"/>
          <w:iCs/>
          <w:noProof/>
          <w:sz w:val="20"/>
          <w:szCs w:val="20"/>
        </w:rPr>
      </w:pPr>
    </w:p>
    <w:p w14:paraId="18634947"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noProof/>
          <w:sz w:val="20"/>
          <w:szCs w:val="20"/>
          <w:lang w:val="hr"/>
        </w:rPr>
        <w:t>Tablica 5.: Dimenzija 2. – oblik financiranja</w:t>
      </w:r>
    </w:p>
    <w:tbl>
      <w:tblPr>
        <w:tblStyle w:val="TableGrid"/>
        <w:tblW w:w="0" w:type="auto"/>
        <w:tblLook w:val="04A0" w:firstRow="1" w:lastRow="0" w:firstColumn="1" w:lastColumn="0" w:noHBand="0" w:noVBand="1"/>
      </w:tblPr>
      <w:tblGrid>
        <w:gridCol w:w="1817"/>
        <w:gridCol w:w="1602"/>
        <w:gridCol w:w="1848"/>
        <w:gridCol w:w="1216"/>
        <w:gridCol w:w="2577"/>
      </w:tblGrid>
      <w:tr w:rsidR="00CB4EBF" w:rsidRPr="00A23750" w14:paraId="415FDD3C" w14:textId="77777777" w:rsidTr="0054762C">
        <w:tc>
          <w:tcPr>
            <w:tcW w:w="1870" w:type="dxa"/>
          </w:tcPr>
          <w:p w14:paraId="33FEF7EB"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Prioritet br.</w:t>
            </w:r>
          </w:p>
        </w:tc>
        <w:tc>
          <w:tcPr>
            <w:tcW w:w="1657" w:type="dxa"/>
          </w:tcPr>
          <w:p w14:paraId="5779C504"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Fond</w:t>
            </w:r>
          </w:p>
        </w:tc>
        <w:tc>
          <w:tcPr>
            <w:tcW w:w="1898" w:type="dxa"/>
          </w:tcPr>
          <w:p w14:paraId="758811B4"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Specifični cilj</w:t>
            </w:r>
          </w:p>
        </w:tc>
        <w:tc>
          <w:tcPr>
            <w:tcW w:w="1204" w:type="dxa"/>
          </w:tcPr>
          <w:p w14:paraId="001C0BC6"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 xml:space="preserve">Oznaka </w:t>
            </w:r>
          </w:p>
        </w:tc>
        <w:tc>
          <w:tcPr>
            <w:tcW w:w="2659" w:type="dxa"/>
          </w:tcPr>
          <w:p w14:paraId="4EFC5543"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Iznos (EUR)</w:t>
            </w:r>
          </w:p>
        </w:tc>
      </w:tr>
      <w:tr w:rsidR="00CB4EBF" w:rsidRPr="00A23750" w14:paraId="18FFC95C" w14:textId="77777777" w:rsidTr="0054762C">
        <w:tc>
          <w:tcPr>
            <w:tcW w:w="1870" w:type="dxa"/>
          </w:tcPr>
          <w:p w14:paraId="15B70C42"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lastRenderedPageBreak/>
              <w:t>4</w:t>
            </w:r>
          </w:p>
        </w:tc>
        <w:tc>
          <w:tcPr>
            <w:tcW w:w="1657" w:type="dxa"/>
          </w:tcPr>
          <w:p w14:paraId="2A5E0211"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EFRR</w:t>
            </w:r>
          </w:p>
        </w:tc>
        <w:tc>
          <w:tcPr>
            <w:tcW w:w="1898" w:type="dxa"/>
          </w:tcPr>
          <w:p w14:paraId="73820197"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ISO1</w:t>
            </w:r>
          </w:p>
        </w:tc>
        <w:tc>
          <w:tcPr>
            <w:tcW w:w="1204" w:type="dxa"/>
          </w:tcPr>
          <w:p w14:paraId="5D83FFA1"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01 Bespovratna sredstva</w:t>
            </w:r>
          </w:p>
        </w:tc>
        <w:tc>
          <w:tcPr>
            <w:tcW w:w="2659" w:type="dxa"/>
          </w:tcPr>
          <w:p w14:paraId="2BF2B468"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5 235 364,49</w:t>
            </w:r>
          </w:p>
        </w:tc>
      </w:tr>
    </w:tbl>
    <w:p w14:paraId="27DC7E27" w14:textId="77777777" w:rsidR="00CB4EBF" w:rsidRPr="001C431F" w:rsidRDefault="00CB4EBF" w:rsidP="00CB4EBF">
      <w:pPr>
        <w:spacing w:after="0" w:line="240" w:lineRule="auto"/>
        <w:jc w:val="both"/>
        <w:rPr>
          <w:rFonts w:eastAsia="Times New Roman" w:cs="Times New Roman"/>
          <w:iCs/>
          <w:noProof/>
          <w:sz w:val="20"/>
          <w:szCs w:val="20"/>
        </w:rPr>
      </w:pPr>
    </w:p>
    <w:p w14:paraId="50E06CB1"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noProof/>
          <w:sz w:val="20"/>
          <w:szCs w:val="20"/>
          <w:lang w:val="hr"/>
        </w:rPr>
        <w:t>Tablica 6.: Dimenzija 3. – mehanizam teritorijalne provedbe i teritorijalni fokus</w:t>
      </w:r>
    </w:p>
    <w:tbl>
      <w:tblPr>
        <w:tblStyle w:val="TableGrid"/>
        <w:tblW w:w="0" w:type="auto"/>
        <w:tblLook w:val="04A0" w:firstRow="1" w:lastRow="0" w:firstColumn="1" w:lastColumn="0" w:noHBand="0" w:noVBand="1"/>
      </w:tblPr>
      <w:tblGrid>
        <w:gridCol w:w="1827"/>
        <w:gridCol w:w="1613"/>
        <w:gridCol w:w="1858"/>
        <w:gridCol w:w="1180"/>
        <w:gridCol w:w="2582"/>
      </w:tblGrid>
      <w:tr w:rsidR="00CB4EBF" w:rsidRPr="00A23750" w14:paraId="4B0D091E" w14:textId="77777777" w:rsidTr="0054762C">
        <w:tc>
          <w:tcPr>
            <w:tcW w:w="1827" w:type="dxa"/>
          </w:tcPr>
          <w:p w14:paraId="4CB6A9ED"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Prioritet br.</w:t>
            </w:r>
          </w:p>
        </w:tc>
        <w:tc>
          <w:tcPr>
            <w:tcW w:w="1613" w:type="dxa"/>
          </w:tcPr>
          <w:p w14:paraId="16A1CAF5"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Fond</w:t>
            </w:r>
          </w:p>
        </w:tc>
        <w:tc>
          <w:tcPr>
            <w:tcW w:w="1858" w:type="dxa"/>
          </w:tcPr>
          <w:p w14:paraId="57F3D505"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Specifični cilj</w:t>
            </w:r>
          </w:p>
        </w:tc>
        <w:tc>
          <w:tcPr>
            <w:tcW w:w="1180" w:type="dxa"/>
          </w:tcPr>
          <w:p w14:paraId="40400D9D"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 xml:space="preserve">Oznaka </w:t>
            </w:r>
          </w:p>
        </w:tc>
        <w:tc>
          <w:tcPr>
            <w:tcW w:w="2582" w:type="dxa"/>
          </w:tcPr>
          <w:p w14:paraId="74570FFB" w14:textId="77777777" w:rsidR="00CB4EBF" w:rsidRPr="001C431F" w:rsidRDefault="00CB4EBF" w:rsidP="0054762C">
            <w:pPr>
              <w:jc w:val="both"/>
              <w:rPr>
                <w:rFonts w:eastAsia="Times New Roman" w:cs="Times New Roman"/>
                <w:b/>
                <w:iCs/>
                <w:noProof/>
                <w:sz w:val="20"/>
                <w:szCs w:val="20"/>
              </w:rPr>
            </w:pPr>
            <w:r>
              <w:rPr>
                <w:rFonts w:eastAsia="Times New Roman" w:cs="Times New Roman"/>
                <w:b/>
                <w:bCs/>
                <w:noProof/>
                <w:sz w:val="20"/>
                <w:szCs w:val="20"/>
                <w:lang w:val="hr"/>
              </w:rPr>
              <w:t>Iznos (EUR)</w:t>
            </w:r>
          </w:p>
        </w:tc>
      </w:tr>
      <w:tr w:rsidR="00CB4EBF" w:rsidRPr="00A23750" w14:paraId="72C8C8BE" w14:textId="77777777" w:rsidTr="0054762C">
        <w:tc>
          <w:tcPr>
            <w:tcW w:w="1827" w:type="dxa"/>
          </w:tcPr>
          <w:p w14:paraId="4E23A455"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4</w:t>
            </w:r>
          </w:p>
        </w:tc>
        <w:tc>
          <w:tcPr>
            <w:tcW w:w="1613" w:type="dxa"/>
          </w:tcPr>
          <w:p w14:paraId="486421F3"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EFRR</w:t>
            </w:r>
          </w:p>
        </w:tc>
        <w:tc>
          <w:tcPr>
            <w:tcW w:w="1858" w:type="dxa"/>
          </w:tcPr>
          <w:p w14:paraId="447755A6" w14:textId="77777777" w:rsidR="00CB4EBF" w:rsidRPr="001C431F" w:rsidRDefault="00CB4EBF" w:rsidP="0054762C">
            <w:pPr>
              <w:jc w:val="both"/>
              <w:rPr>
                <w:rFonts w:eastAsia="Times New Roman" w:cs="Times New Roman"/>
                <w:iCs/>
                <w:noProof/>
                <w:sz w:val="20"/>
                <w:szCs w:val="20"/>
              </w:rPr>
            </w:pPr>
            <w:r>
              <w:rPr>
                <w:rFonts w:eastAsia="Times New Roman" w:cs="Times New Roman"/>
                <w:noProof/>
                <w:sz w:val="20"/>
                <w:szCs w:val="20"/>
                <w:lang w:val="hr"/>
              </w:rPr>
              <w:t>ISO1</w:t>
            </w:r>
          </w:p>
        </w:tc>
        <w:tc>
          <w:tcPr>
            <w:tcW w:w="1180" w:type="dxa"/>
          </w:tcPr>
          <w:p w14:paraId="311D8A23" w14:textId="77777777" w:rsidR="00CB4EBF" w:rsidRPr="001C431F" w:rsidRDefault="00CB4EBF" w:rsidP="0054762C">
            <w:pPr>
              <w:rPr>
                <w:rFonts w:eastAsia="Times New Roman" w:cs="Times New Roman"/>
                <w:iCs/>
                <w:noProof/>
                <w:sz w:val="20"/>
                <w:szCs w:val="20"/>
              </w:rPr>
            </w:pPr>
            <w:r>
              <w:rPr>
                <w:rFonts w:eastAsia="Times New Roman" w:cs="Times New Roman"/>
                <w:noProof/>
                <w:sz w:val="20"/>
                <w:szCs w:val="20"/>
                <w:lang w:val="hr"/>
              </w:rPr>
              <w:t>33 Bez ciljanog teritorija</w:t>
            </w:r>
          </w:p>
        </w:tc>
        <w:tc>
          <w:tcPr>
            <w:tcW w:w="2582" w:type="dxa"/>
          </w:tcPr>
          <w:p w14:paraId="55492978" w14:textId="77777777" w:rsidR="00CB4EBF" w:rsidRPr="001C431F" w:rsidRDefault="00CB4EBF" w:rsidP="0054762C">
            <w:pPr>
              <w:jc w:val="both"/>
              <w:rPr>
                <w:rFonts w:cs="Times New Roman"/>
                <w:color w:val="000000"/>
                <w:sz w:val="20"/>
                <w:szCs w:val="20"/>
              </w:rPr>
            </w:pPr>
            <w:r>
              <w:rPr>
                <w:rFonts w:eastAsia="Times New Roman" w:cs="Times New Roman"/>
                <w:noProof/>
                <w:sz w:val="20"/>
                <w:szCs w:val="20"/>
                <w:lang w:val="hr"/>
              </w:rPr>
              <w:t>5 235 364,49</w:t>
            </w:r>
          </w:p>
        </w:tc>
      </w:tr>
    </w:tbl>
    <w:p w14:paraId="1BCA0D4C" w14:textId="77777777" w:rsidR="00CB4EBF" w:rsidRPr="001C431F" w:rsidRDefault="00CB4EBF" w:rsidP="00CB4EBF">
      <w:pPr>
        <w:pStyle w:val="ListParagraph"/>
        <w:spacing w:after="0" w:line="240" w:lineRule="auto"/>
        <w:ind w:left="360"/>
        <w:jc w:val="both"/>
        <w:rPr>
          <w:rFonts w:eastAsia="Times New Roman" w:cs="Times New Roman"/>
          <w:b/>
          <w:iCs/>
          <w:noProof/>
          <w:sz w:val="20"/>
          <w:szCs w:val="20"/>
        </w:rPr>
      </w:pPr>
    </w:p>
    <w:p w14:paraId="316CE238" w14:textId="77777777" w:rsidR="00CB4EBF" w:rsidRPr="001C431F" w:rsidRDefault="00CB4EBF" w:rsidP="00CB4EBF">
      <w:pPr>
        <w:pStyle w:val="ListParagraph"/>
        <w:spacing w:after="0" w:line="240" w:lineRule="auto"/>
        <w:ind w:left="360"/>
        <w:jc w:val="both"/>
        <w:rPr>
          <w:rFonts w:eastAsia="Times New Roman" w:cs="Times New Roman"/>
          <w:b/>
          <w:iCs/>
          <w:noProof/>
          <w:sz w:val="20"/>
          <w:szCs w:val="20"/>
        </w:rPr>
      </w:pPr>
    </w:p>
    <w:p w14:paraId="392F4E5E" w14:textId="77777777" w:rsidR="00CB4EBF" w:rsidRPr="00A51DC3" w:rsidRDefault="00CB4EBF" w:rsidP="00CB4EBF">
      <w:pPr>
        <w:pStyle w:val="ListParagraph"/>
        <w:numPr>
          <w:ilvl w:val="0"/>
          <w:numId w:val="31"/>
        </w:numPr>
        <w:spacing w:after="0" w:line="240" w:lineRule="auto"/>
        <w:jc w:val="both"/>
        <w:rPr>
          <w:rFonts w:eastAsia="Times New Roman" w:cs="Times New Roman"/>
          <w:b/>
          <w:iCs/>
          <w:noProof/>
          <w:sz w:val="20"/>
          <w:szCs w:val="20"/>
        </w:rPr>
      </w:pPr>
      <w:r>
        <w:rPr>
          <w:rFonts w:eastAsia="Times New Roman" w:cs="Times New Roman"/>
          <w:b/>
          <w:bCs/>
          <w:noProof/>
          <w:sz w:val="20"/>
          <w:szCs w:val="20"/>
          <w:lang w:val="hr"/>
        </w:rPr>
        <w:t>Plan financiranja</w:t>
      </w:r>
    </w:p>
    <w:p w14:paraId="66DE45B0"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i/>
          <w:iCs/>
          <w:noProof/>
          <w:color w:val="000000"/>
          <w:sz w:val="20"/>
          <w:szCs w:val="20"/>
          <w:lang w:val="hr"/>
        </w:rPr>
        <w:t>Upućivanje: članak 17. stavak 3. točka (f)</w:t>
      </w:r>
    </w:p>
    <w:p w14:paraId="78244D19"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r>
        <w:rPr>
          <w:rFonts w:eastAsia="Times New Roman" w:cs="Times New Roman"/>
          <w:b/>
          <w:bCs/>
          <w:noProof/>
          <w:sz w:val="20"/>
          <w:szCs w:val="20"/>
          <w:lang w:val="hr"/>
        </w:rPr>
        <w:t>3.1.</w:t>
      </w:r>
      <w:r>
        <w:rPr>
          <w:rFonts w:eastAsia="Times New Roman" w:cs="Times New Roman"/>
          <w:b/>
          <w:bCs/>
          <w:noProof/>
          <w:sz w:val="20"/>
          <w:szCs w:val="20"/>
          <w:lang w:val="hr"/>
        </w:rPr>
        <w:tab/>
        <w:t>Odobrena financijska sredstva po godini</w:t>
      </w:r>
    </w:p>
    <w:p w14:paraId="23AEA1F5"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i/>
          <w:iCs/>
          <w:noProof/>
          <w:color w:val="000000"/>
          <w:sz w:val="20"/>
          <w:szCs w:val="20"/>
          <w:lang w:val="hr"/>
        </w:rPr>
        <w:t>Upućivanje: članak 17. stavak 3. točka (g) podtočka i., članak 17. stavak 4. točke od (a) do (d)</w:t>
      </w:r>
    </w:p>
    <w:p w14:paraId="7D8800CD" w14:textId="77777777" w:rsidR="00CB4EBF" w:rsidRPr="001C431F" w:rsidRDefault="00CB4EBF" w:rsidP="00CB4EBF">
      <w:pPr>
        <w:spacing w:after="0" w:line="240" w:lineRule="auto"/>
        <w:jc w:val="both"/>
        <w:rPr>
          <w:rFonts w:eastAsia="Times New Roman" w:cs="Times New Roman"/>
          <w:iCs/>
          <w:noProof/>
          <w:sz w:val="20"/>
          <w:szCs w:val="20"/>
        </w:rPr>
      </w:pPr>
      <w:r>
        <w:rPr>
          <w:rFonts w:eastAsia="Times New Roman" w:cs="Times New Roman"/>
          <w:noProof/>
          <w:sz w:val="20"/>
          <w:szCs w:val="20"/>
          <w:lang w:val="hr"/>
        </w:rPr>
        <w:t>Tablica 7.</w:t>
      </w:r>
    </w:p>
    <w:tbl>
      <w:tblPr>
        <w:tblStyle w:val="TableGrid1"/>
        <w:tblW w:w="9589" w:type="dxa"/>
        <w:tblLook w:val="04A0" w:firstRow="1" w:lastRow="0" w:firstColumn="1" w:lastColumn="0" w:noHBand="0" w:noVBand="1"/>
      </w:tblPr>
      <w:tblGrid>
        <w:gridCol w:w="1149"/>
        <w:gridCol w:w="666"/>
        <w:gridCol w:w="1116"/>
        <w:gridCol w:w="1116"/>
        <w:gridCol w:w="1116"/>
        <w:gridCol w:w="1116"/>
        <w:gridCol w:w="1116"/>
        <w:gridCol w:w="1116"/>
        <w:gridCol w:w="1116"/>
      </w:tblGrid>
      <w:tr w:rsidR="00CB4EBF" w:rsidRPr="00A23750" w14:paraId="701801AB" w14:textId="77777777" w:rsidTr="0054762C">
        <w:trPr>
          <w:trHeight w:val="226"/>
        </w:trPr>
        <w:tc>
          <w:tcPr>
            <w:tcW w:w="1161" w:type="dxa"/>
          </w:tcPr>
          <w:p w14:paraId="6593BFA4" w14:textId="77777777" w:rsidR="00CB4EBF" w:rsidRPr="001C431F" w:rsidRDefault="00CB4EBF" w:rsidP="0054762C">
            <w:pPr>
              <w:spacing w:line="276" w:lineRule="auto"/>
              <w:jc w:val="both"/>
              <w:rPr>
                <w:rFonts w:cs="Times New Roman"/>
                <w:sz w:val="20"/>
                <w:szCs w:val="20"/>
              </w:rPr>
            </w:pPr>
            <w:r>
              <w:rPr>
                <w:rFonts w:cs="Times New Roman"/>
                <w:sz w:val="20"/>
                <w:szCs w:val="20"/>
                <w:lang w:val="hr"/>
              </w:rPr>
              <w:t>Fond</w:t>
            </w:r>
          </w:p>
        </w:tc>
        <w:tc>
          <w:tcPr>
            <w:tcW w:w="616" w:type="dxa"/>
          </w:tcPr>
          <w:p w14:paraId="702BEA7D" w14:textId="77777777" w:rsidR="00CB4EBF" w:rsidRPr="001C431F" w:rsidRDefault="00CB4EBF" w:rsidP="0054762C">
            <w:pPr>
              <w:spacing w:line="276" w:lineRule="auto"/>
              <w:jc w:val="both"/>
              <w:rPr>
                <w:rFonts w:cs="Times New Roman"/>
                <w:sz w:val="20"/>
                <w:szCs w:val="20"/>
              </w:rPr>
            </w:pPr>
            <w:r>
              <w:rPr>
                <w:rFonts w:cs="Times New Roman"/>
                <w:sz w:val="20"/>
                <w:szCs w:val="20"/>
                <w:lang w:val="hr"/>
              </w:rPr>
              <w:t>2021.</w:t>
            </w:r>
          </w:p>
        </w:tc>
        <w:tc>
          <w:tcPr>
            <w:tcW w:w="1116" w:type="dxa"/>
          </w:tcPr>
          <w:p w14:paraId="5FCFBD89" w14:textId="77777777" w:rsidR="00CB4EBF" w:rsidRPr="001C431F" w:rsidRDefault="00CB4EBF" w:rsidP="0054762C">
            <w:pPr>
              <w:spacing w:line="276" w:lineRule="auto"/>
              <w:jc w:val="both"/>
              <w:rPr>
                <w:rFonts w:cs="Times New Roman"/>
                <w:sz w:val="20"/>
                <w:szCs w:val="20"/>
              </w:rPr>
            </w:pPr>
            <w:r>
              <w:rPr>
                <w:rFonts w:cs="Times New Roman"/>
                <w:sz w:val="20"/>
                <w:szCs w:val="20"/>
                <w:lang w:val="hr"/>
              </w:rPr>
              <w:t>2022.</w:t>
            </w:r>
          </w:p>
        </w:tc>
        <w:tc>
          <w:tcPr>
            <w:tcW w:w="1116" w:type="dxa"/>
          </w:tcPr>
          <w:p w14:paraId="3FA721FD" w14:textId="77777777" w:rsidR="00CB4EBF" w:rsidRPr="001C431F" w:rsidRDefault="00CB4EBF" w:rsidP="0054762C">
            <w:pPr>
              <w:spacing w:line="276" w:lineRule="auto"/>
              <w:jc w:val="both"/>
              <w:rPr>
                <w:rFonts w:cs="Times New Roman"/>
                <w:sz w:val="20"/>
                <w:szCs w:val="20"/>
              </w:rPr>
            </w:pPr>
            <w:r>
              <w:rPr>
                <w:rFonts w:cs="Times New Roman"/>
                <w:sz w:val="20"/>
                <w:szCs w:val="20"/>
                <w:lang w:val="hr"/>
              </w:rPr>
              <w:t>2023.</w:t>
            </w:r>
          </w:p>
        </w:tc>
        <w:tc>
          <w:tcPr>
            <w:tcW w:w="1116" w:type="dxa"/>
          </w:tcPr>
          <w:p w14:paraId="09CFABFF" w14:textId="77777777" w:rsidR="00CB4EBF" w:rsidRPr="001C431F" w:rsidRDefault="00CB4EBF" w:rsidP="0054762C">
            <w:pPr>
              <w:spacing w:line="276" w:lineRule="auto"/>
              <w:jc w:val="both"/>
              <w:rPr>
                <w:rFonts w:cs="Times New Roman"/>
                <w:sz w:val="20"/>
                <w:szCs w:val="20"/>
              </w:rPr>
            </w:pPr>
            <w:r>
              <w:rPr>
                <w:rFonts w:cs="Times New Roman"/>
                <w:sz w:val="20"/>
                <w:szCs w:val="20"/>
                <w:lang w:val="hr"/>
              </w:rPr>
              <w:t>2024.</w:t>
            </w:r>
          </w:p>
        </w:tc>
        <w:tc>
          <w:tcPr>
            <w:tcW w:w="1116" w:type="dxa"/>
          </w:tcPr>
          <w:p w14:paraId="7F061B3E" w14:textId="77777777" w:rsidR="00CB4EBF" w:rsidRPr="001C431F" w:rsidRDefault="00CB4EBF" w:rsidP="0054762C">
            <w:pPr>
              <w:spacing w:line="276" w:lineRule="auto"/>
              <w:jc w:val="both"/>
              <w:rPr>
                <w:rFonts w:cs="Times New Roman"/>
                <w:sz w:val="20"/>
                <w:szCs w:val="20"/>
              </w:rPr>
            </w:pPr>
            <w:r>
              <w:rPr>
                <w:rFonts w:cs="Times New Roman"/>
                <w:sz w:val="20"/>
                <w:szCs w:val="20"/>
                <w:lang w:val="hr"/>
              </w:rPr>
              <w:t>2025.</w:t>
            </w:r>
          </w:p>
        </w:tc>
        <w:tc>
          <w:tcPr>
            <w:tcW w:w="1116" w:type="dxa"/>
          </w:tcPr>
          <w:p w14:paraId="28500FE9" w14:textId="77777777" w:rsidR="00CB4EBF" w:rsidRPr="001C431F" w:rsidRDefault="00CB4EBF" w:rsidP="0054762C">
            <w:pPr>
              <w:spacing w:line="276" w:lineRule="auto"/>
              <w:jc w:val="both"/>
              <w:rPr>
                <w:rFonts w:cs="Times New Roman"/>
                <w:sz w:val="20"/>
                <w:szCs w:val="20"/>
              </w:rPr>
            </w:pPr>
            <w:r>
              <w:rPr>
                <w:rFonts w:cs="Times New Roman"/>
                <w:sz w:val="20"/>
                <w:szCs w:val="20"/>
                <w:lang w:val="hr"/>
              </w:rPr>
              <w:t>2026.</w:t>
            </w:r>
          </w:p>
        </w:tc>
        <w:tc>
          <w:tcPr>
            <w:tcW w:w="1116" w:type="dxa"/>
          </w:tcPr>
          <w:p w14:paraId="227F3730" w14:textId="77777777" w:rsidR="00CB4EBF" w:rsidRPr="001C431F" w:rsidRDefault="00CB4EBF" w:rsidP="0054762C">
            <w:pPr>
              <w:spacing w:line="276" w:lineRule="auto"/>
              <w:jc w:val="both"/>
              <w:rPr>
                <w:rFonts w:cs="Times New Roman"/>
                <w:sz w:val="20"/>
                <w:szCs w:val="20"/>
              </w:rPr>
            </w:pPr>
            <w:r>
              <w:rPr>
                <w:rFonts w:cs="Times New Roman"/>
                <w:sz w:val="20"/>
                <w:szCs w:val="20"/>
                <w:lang w:val="hr"/>
              </w:rPr>
              <w:t>2027.</w:t>
            </w:r>
          </w:p>
        </w:tc>
        <w:tc>
          <w:tcPr>
            <w:tcW w:w="1116" w:type="dxa"/>
          </w:tcPr>
          <w:p w14:paraId="0574E23D" w14:textId="77777777" w:rsidR="00CB4EBF" w:rsidRPr="001C431F" w:rsidRDefault="00CB4EBF" w:rsidP="0054762C">
            <w:pPr>
              <w:spacing w:line="276" w:lineRule="auto"/>
              <w:jc w:val="both"/>
              <w:rPr>
                <w:rFonts w:cs="Times New Roman"/>
                <w:sz w:val="20"/>
                <w:szCs w:val="20"/>
              </w:rPr>
            </w:pPr>
            <w:r>
              <w:rPr>
                <w:rFonts w:cs="Times New Roman"/>
                <w:sz w:val="20"/>
                <w:szCs w:val="20"/>
                <w:lang w:val="hr"/>
              </w:rPr>
              <w:t xml:space="preserve">Ukupno </w:t>
            </w:r>
          </w:p>
        </w:tc>
      </w:tr>
      <w:tr w:rsidR="00CB4EBF" w:rsidRPr="00A23750" w14:paraId="115322CF" w14:textId="77777777" w:rsidTr="0054762C">
        <w:tc>
          <w:tcPr>
            <w:tcW w:w="1161" w:type="dxa"/>
          </w:tcPr>
          <w:p w14:paraId="6404F036" w14:textId="77777777" w:rsidR="00CB4EBF" w:rsidRPr="001C431F" w:rsidRDefault="00CB4EBF" w:rsidP="0054762C">
            <w:pPr>
              <w:spacing w:line="276" w:lineRule="auto"/>
              <w:jc w:val="both"/>
              <w:rPr>
                <w:rFonts w:cs="Times New Roman"/>
                <w:sz w:val="20"/>
                <w:szCs w:val="20"/>
              </w:rPr>
            </w:pPr>
            <w:proofErr w:type="spellStart"/>
            <w:r>
              <w:rPr>
                <w:rFonts w:cs="Times New Roman"/>
                <w:sz w:val="20"/>
                <w:szCs w:val="20"/>
                <w:lang w:val="hr"/>
              </w:rPr>
              <w:t>EFRR</w:t>
            </w:r>
            <w:proofErr w:type="spellEnd"/>
          </w:p>
          <w:p w14:paraId="2C802175" w14:textId="77777777" w:rsidR="00CB4EBF" w:rsidRPr="001C431F" w:rsidRDefault="00CB4EBF" w:rsidP="0054762C">
            <w:pPr>
              <w:jc w:val="both"/>
              <w:rPr>
                <w:rFonts w:cs="Times New Roman"/>
                <w:i/>
                <w:noProof/>
                <w:sz w:val="20"/>
                <w:szCs w:val="20"/>
              </w:rPr>
            </w:pPr>
            <w:r>
              <w:rPr>
                <w:rFonts w:cs="Times New Roman"/>
                <w:i/>
                <w:iCs/>
                <w:noProof/>
                <w:sz w:val="20"/>
                <w:szCs w:val="20"/>
                <w:lang w:val="hr"/>
              </w:rPr>
              <w:t>(</w:t>
            </w:r>
            <w:r>
              <w:rPr>
                <w:rFonts w:cs="Times New Roman"/>
                <w:sz w:val="20"/>
                <w:szCs w:val="20"/>
                <w:lang w:val="hr"/>
              </w:rPr>
              <w:t>cilj teritorijalne suradnje</w:t>
            </w:r>
            <w:r>
              <w:rPr>
                <w:rFonts w:cs="Times New Roman"/>
                <w:i/>
                <w:iCs/>
                <w:noProof/>
                <w:sz w:val="20"/>
                <w:szCs w:val="20"/>
                <w:lang w:val="hr"/>
              </w:rPr>
              <w:t>)</w:t>
            </w:r>
          </w:p>
        </w:tc>
        <w:tc>
          <w:tcPr>
            <w:tcW w:w="616" w:type="dxa"/>
          </w:tcPr>
          <w:p w14:paraId="4A90572D" w14:textId="77777777" w:rsidR="00CB4EBF" w:rsidRPr="001C431F" w:rsidRDefault="00CB4EBF" w:rsidP="0054762C">
            <w:pPr>
              <w:jc w:val="both"/>
              <w:rPr>
                <w:rFonts w:cs="Times New Roman"/>
                <w:i/>
                <w:noProof/>
                <w:sz w:val="20"/>
                <w:szCs w:val="20"/>
              </w:rPr>
            </w:pPr>
            <w:r>
              <w:rPr>
                <w:rFonts w:cs="Times New Roman"/>
                <w:i/>
                <w:iCs/>
                <w:noProof/>
                <w:sz w:val="20"/>
                <w:szCs w:val="20"/>
                <w:lang w:val="hr"/>
              </w:rPr>
              <w:t>0</w:t>
            </w:r>
          </w:p>
        </w:tc>
        <w:tc>
          <w:tcPr>
            <w:tcW w:w="1116" w:type="dxa"/>
          </w:tcPr>
          <w:p w14:paraId="1E6D32BD" w14:textId="77777777" w:rsidR="00CB4EBF" w:rsidRPr="001C431F" w:rsidRDefault="00CB4EBF" w:rsidP="0054762C">
            <w:pPr>
              <w:jc w:val="both"/>
              <w:rPr>
                <w:rFonts w:cs="Times New Roman"/>
                <w:i/>
                <w:noProof/>
                <w:sz w:val="20"/>
                <w:szCs w:val="20"/>
              </w:rPr>
            </w:pPr>
            <w:r>
              <w:rPr>
                <w:rFonts w:cs="Times New Roman"/>
                <w:i/>
                <w:iCs/>
                <w:noProof/>
                <w:sz w:val="20"/>
                <w:szCs w:val="20"/>
                <w:lang w:val="hr"/>
              </w:rPr>
              <w:t>11 963 927</w:t>
            </w:r>
          </w:p>
        </w:tc>
        <w:tc>
          <w:tcPr>
            <w:tcW w:w="1116" w:type="dxa"/>
          </w:tcPr>
          <w:p w14:paraId="5E404AE2" w14:textId="77777777" w:rsidR="00CB4EBF" w:rsidRPr="001C431F" w:rsidRDefault="00CB4EBF" w:rsidP="0054762C">
            <w:pPr>
              <w:jc w:val="both"/>
              <w:rPr>
                <w:rFonts w:cs="Times New Roman"/>
                <w:i/>
                <w:noProof/>
                <w:sz w:val="20"/>
                <w:szCs w:val="20"/>
              </w:rPr>
            </w:pPr>
            <w:r>
              <w:rPr>
                <w:rFonts w:cs="Times New Roman"/>
                <w:i/>
                <w:iCs/>
                <w:noProof/>
                <w:sz w:val="20"/>
                <w:szCs w:val="20"/>
                <w:lang w:val="hr"/>
              </w:rPr>
              <w:t>12 156 102</w:t>
            </w:r>
          </w:p>
        </w:tc>
        <w:tc>
          <w:tcPr>
            <w:tcW w:w="1116" w:type="dxa"/>
          </w:tcPr>
          <w:p w14:paraId="6385B237" w14:textId="77777777" w:rsidR="00CB4EBF" w:rsidRPr="001C431F" w:rsidRDefault="00CB4EBF" w:rsidP="0054762C">
            <w:pPr>
              <w:jc w:val="both"/>
              <w:rPr>
                <w:rFonts w:cs="Times New Roman"/>
                <w:i/>
                <w:noProof/>
                <w:sz w:val="20"/>
                <w:szCs w:val="20"/>
              </w:rPr>
            </w:pPr>
            <w:r>
              <w:rPr>
                <w:rFonts w:cs="Times New Roman"/>
                <w:i/>
                <w:iCs/>
                <w:noProof/>
                <w:sz w:val="20"/>
                <w:szCs w:val="20"/>
                <w:lang w:val="hr"/>
              </w:rPr>
              <w:t>12 352 121</w:t>
            </w:r>
          </w:p>
        </w:tc>
        <w:tc>
          <w:tcPr>
            <w:tcW w:w="1116" w:type="dxa"/>
          </w:tcPr>
          <w:p w14:paraId="1B12DA53" w14:textId="77777777" w:rsidR="00CB4EBF" w:rsidRPr="001C431F" w:rsidRDefault="00CB4EBF" w:rsidP="0054762C">
            <w:pPr>
              <w:jc w:val="both"/>
              <w:rPr>
                <w:rFonts w:cs="Times New Roman"/>
                <w:i/>
                <w:noProof/>
                <w:sz w:val="20"/>
                <w:szCs w:val="20"/>
              </w:rPr>
            </w:pPr>
            <w:r>
              <w:rPr>
                <w:rFonts w:cs="Times New Roman"/>
                <w:i/>
                <w:iCs/>
                <w:noProof/>
                <w:sz w:val="20"/>
                <w:szCs w:val="20"/>
                <w:lang w:val="hr"/>
              </w:rPr>
              <w:t>12 552 064</w:t>
            </w:r>
          </w:p>
        </w:tc>
        <w:tc>
          <w:tcPr>
            <w:tcW w:w="1116" w:type="dxa"/>
          </w:tcPr>
          <w:p w14:paraId="3D4E5CAC" w14:textId="77777777" w:rsidR="00CB4EBF" w:rsidRPr="001C431F" w:rsidRDefault="00CB4EBF" w:rsidP="0054762C">
            <w:pPr>
              <w:jc w:val="both"/>
              <w:rPr>
                <w:rFonts w:cs="Times New Roman"/>
                <w:i/>
                <w:noProof/>
                <w:sz w:val="20"/>
                <w:szCs w:val="20"/>
              </w:rPr>
            </w:pPr>
            <w:r>
              <w:rPr>
                <w:rFonts w:cs="Times New Roman"/>
                <w:i/>
                <w:iCs/>
                <w:noProof/>
                <w:sz w:val="20"/>
                <w:szCs w:val="20"/>
                <w:lang w:val="hr"/>
              </w:rPr>
              <w:t>10 400 901</w:t>
            </w:r>
          </w:p>
        </w:tc>
        <w:tc>
          <w:tcPr>
            <w:tcW w:w="1116" w:type="dxa"/>
          </w:tcPr>
          <w:p w14:paraId="02460702" w14:textId="77777777" w:rsidR="00CB4EBF" w:rsidRPr="001C431F" w:rsidRDefault="00CB4EBF" w:rsidP="0054762C">
            <w:pPr>
              <w:jc w:val="both"/>
              <w:rPr>
                <w:rFonts w:cs="Times New Roman"/>
                <w:i/>
                <w:noProof/>
                <w:sz w:val="20"/>
                <w:szCs w:val="20"/>
              </w:rPr>
            </w:pPr>
            <w:r>
              <w:rPr>
                <w:rFonts w:cs="Times New Roman"/>
                <w:i/>
                <w:iCs/>
                <w:noProof/>
                <w:sz w:val="20"/>
                <w:szCs w:val="20"/>
                <w:lang w:val="hr"/>
              </w:rPr>
              <w:t>10 608 915</w:t>
            </w:r>
          </w:p>
        </w:tc>
        <w:tc>
          <w:tcPr>
            <w:tcW w:w="1116" w:type="dxa"/>
          </w:tcPr>
          <w:p w14:paraId="53878701" w14:textId="77777777" w:rsidR="00CB4EBF" w:rsidRPr="001C431F" w:rsidRDefault="00CB4EBF" w:rsidP="0054762C">
            <w:pPr>
              <w:jc w:val="both"/>
              <w:rPr>
                <w:rFonts w:cs="Times New Roman"/>
                <w:i/>
                <w:noProof/>
                <w:sz w:val="20"/>
                <w:szCs w:val="20"/>
              </w:rPr>
            </w:pPr>
            <w:r>
              <w:rPr>
                <w:rFonts w:cs="Times New Roman"/>
                <w:i/>
                <w:iCs/>
                <w:noProof/>
                <w:sz w:val="20"/>
                <w:szCs w:val="20"/>
                <w:lang w:val="hr"/>
              </w:rPr>
              <w:t>70 034 030</w:t>
            </w:r>
          </w:p>
        </w:tc>
      </w:tr>
      <w:tr w:rsidR="00CB4EBF" w:rsidRPr="00A23750" w14:paraId="5AF9FA0D" w14:textId="77777777" w:rsidTr="0054762C">
        <w:tc>
          <w:tcPr>
            <w:tcW w:w="1161" w:type="dxa"/>
          </w:tcPr>
          <w:p w14:paraId="3D6B29D4" w14:textId="77777777" w:rsidR="00CB4EBF" w:rsidRPr="001C431F" w:rsidRDefault="00CB4EBF" w:rsidP="0054762C">
            <w:pPr>
              <w:spacing w:line="276" w:lineRule="auto"/>
              <w:jc w:val="both"/>
              <w:rPr>
                <w:rFonts w:cs="Times New Roman"/>
                <w:sz w:val="20"/>
                <w:szCs w:val="20"/>
              </w:rPr>
            </w:pPr>
            <w:r>
              <w:rPr>
                <w:rFonts w:cs="Times New Roman"/>
                <w:sz w:val="20"/>
                <w:szCs w:val="20"/>
                <w:lang w:val="hr"/>
              </w:rPr>
              <w:t xml:space="preserve">Ukupno </w:t>
            </w:r>
          </w:p>
        </w:tc>
        <w:tc>
          <w:tcPr>
            <w:tcW w:w="616" w:type="dxa"/>
          </w:tcPr>
          <w:p w14:paraId="5330808F" w14:textId="77777777" w:rsidR="00CB4EBF" w:rsidRPr="001C431F" w:rsidRDefault="00CB4EBF" w:rsidP="0054762C">
            <w:pPr>
              <w:spacing w:line="276" w:lineRule="auto"/>
              <w:jc w:val="both"/>
              <w:rPr>
                <w:rFonts w:cs="Times New Roman"/>
                <w:sz w:val="20"/>
                <w:szCs w:val="20"/>
              </w:rPr>
            </w:pPr>
            <w:r>
              <w:rPr>
                <w:rFonts w:cs="Times New Roman"/>
                <w:i/>
                <w:iCs/>
                <w:noProof/>
                <w:sz w:val="20"/>
                <w:szCs w:val="20"/>
                <w:lang w:val="hr"/>
              </w:rPr>
              <w:t>0</w:t>
            </w:r>
          </w:p>
        </w:tc>
        <w:tc>
          <w:tcPr>
            <w:tcW w:w="1116" w:type="dxa"/>
          </w:tcPr>
          <w:p w14:paraId="06C0BFED" w14:textId="77777777" w:rsidR="00CB4EBF" w:rsidRPr="001C431F" w:rsidRDefault="00CB4EBF" w:rsidP="0054762C">
            <w:pPr>
              <w:spacing w:line="276" w:lineRule="auto"/>
              <w:jc w:val="both"/>
              <w:rPr>
                <w:rFonts w:cs="Times New Roman"/>
                <w:sz w:val="20"/>
                <w:szCs w:val="20"/>
              </w:rPr>
            </w:pPr>
            <w:r>
              <w:rPr>
                <w:rFonts w:cs="Times New Roman"/>
                <w:i/>
                <w:iCs/>
                <w:noProof/>
                <w:sz w:val="20"/>
                <w:szCs w:val="20"/>
                <w:lang w:val="hr"/>
              </w:rPr>
              <w:t>11 963 927</w:t>
            </w:r>
          </w:p>
        </w:tc>
        <w:tc>
          <w:tcPr>
            <w:tcW w:w="1116" w:type="dxa"/>
          </w:tcPr>
          <w:p w14:paraId="2B8F8FA3" w14:textId="77777777" w:rsidR="00CB4EBF" w:rsidRPr="001C431F" w:rsidRDefault="00CB4EBF" w:rsidP="0054762C">
            <w:pPr>
              <w:spacing w:line="276" w:lineRule="auto"/>
              <w:jc w:val="both"/>
              <w:rPr>
                <w:rFonts w:cs="Times New Roman"/>
                <w:sz w:val="20"/>
                <w:szCs w:val="20"/>
              </w:rPr>
            </w:pPr>
            <w:r>
              <w:rPr>
                <w:rFonts w:cs="Times New Roman"/>
                <w:i/>
                <w:iCs/>
                <w:noProof/>
                <w:sz w:val="20"/>
                <w:szCs w:val="20"/>
                <w:lang w:val="hr"/>
              </w:rPr>
              <w:t>12 156 102</w:t>
            </w:r>
          </w:p>
        </w:tc>
        <w:tc>
          <w:tcPr>
            <w:tcW w:w="1116" w:type="dxa"/>
          </w:tcPr>
          <w:p w14:paraId="3D861DF5" w14:textId="77777777" w:rsidR="00CB4EBF" w:rsidRPr="001C431F" w:rsidRDefault="00CB4EBF" w:rsidP="0054762C">
            <w:pPr>
              <w:spacing w:line="276" w:lineRule="auto"/>
              <w:jc w:val="both"/>
              <w:rPr>
                <w:rFonts w:cs="Times New Roman"/>
                <w:sz w:val="20"/>
                <w:szCs w:val="20"/>
              </w:rPr>
            </w:pPr>
            <w:r>
              <w:rPr>
                <w:rFonts w:cs="Times New Roman"/>
                <w:i/>
                <w:iCs/>
                <w:noProof/>
                <w:sz w:val="20"/>
                <w:szCs w:val="20"/>
                <w:lang w:val="hr"/>
              </w:rPr>
              <w:t>12 352 121</w:t>
            </w:r>
          </w:p>
        </w:tc>
        <w:tc>
          <w:tcPr>
            <w:tcW w:w="1116" w:type="dxa"/>
          </w:tcPr>
          <w:p w14:paraId="5D380D41" w14:textId="77777777" w:rsidR="00CB4EBF" w:rsidRPr="001C431F" w:rsidRDefault="00CB4EBF" w:rsidP="0054762C">
            <w:pPr>
              <w:spacing w:line="276" w:lineRule="auto"/>
              <w:jc w:val="both"/>
              <w:rPr>
                <w:rFonts w:cs="Times New Roman"/>
                <w:sz w:val="20"/>
                <w:szCs w:val="20"/>
              </w:rPr>
            </w:pPr>
            <w:r>
              <w:rPr>
                <w:rFonts w:cs="Times New Roman"/>
                <w:i/>
                <w:iCs/>
                <w:noProof/>
                <w:sz w:val="20"/>
                <w:szCs w:val="20"/>
                <w:lang w:val="hr"/>
              </w:rPr>
              <w:t>12 552 064</w:t>
            </w:r>
          </w:p>
        </w:tc>
        <w:tc>
          <w:tcPr>
            <w:tcW w:w="1116" w:type="dxa"/>
          </w:tcPr>
          <w:p w14:paraId="4A615ADE" w14:textId="77777777" w:rsidR="00CB4EBF" w:rsidRPr="001C431F" w:rsidRDefault="00CB4EBF" w:rsidP="0054762C">
            <w:pPr>
              <w:spacing w:line="276" w:lineRule="auto"/>
              <w:jc w:val="both"/>
              <w:rPr>
                <w:rFonts w:cs="Times New Roman"/>
                <w:sz w:val="20"/>
                <w:szCs w:val="20"/>
              </w:rPr>
            </w:pPr>
            <w:r>
              <w:rPr>
                <w:rFonts w:cs="Times New Roman"/>
                <w:i/>
                <w:iCs/>
                <w:noProof/>
                <w:sz w:val="20"/>
                <w:szCs w:val="20"/>
                <w:lang w:val="hr"/>
              </w:rPr>
              <w:t>10 400 901</w:t>
            </w:r>
          </w:p>
        </w:tc>
        <w:tc>
          <w:tcPr>
            <w:tcW w:w="1116" w:type="dxa"/>
          </w:tcPr>
          <w:p w14:paraId="13E7D1D7" w14:textId="77777777" w:rsidR="00CB4EBF" w:rsidRPr="001C431F" w:rsidRDefault="00CB4EBF" w:rsidP="0054762C">
            <w:pPr>
              <w:spacing w:line="276" w:lineRule="auto"/>
              <w:jc w:val="both"/>
              <w:rPr>
                <w:rFonts w:cs="Times New Roman"/>
                <w:sz w:val="20"/>
                <w:szCs w:val="20"/>
              </w:rPr>
            </w:pPr>
            <w:r>
              <w:rPr>
                <w:rFonts w:cs="Times New Roman"/>
                <w:i/>
                <w:iCs/>
                <w:noProof/>
                <w:sz w:val="20"/>
                <w:szCs w:val="20"/>
                <w:lang w:val="hr"/>
              </w:rPr>
              <w:t>10 608 915</w:t>
            </w:r>
          </w:p>
        </w:tc>
        <w:tc>
          <w:tcPr>
            <w:tcW w:w="1116" w:type="dxa"/>
          </w:tcPr>
          <w:p w14:paraId="3F69DAC1" w14:textId="77777777" w:rsidR="00CB4EBF" w:rsidRPr="001C431F" w:rsidRDefault="00CB4EBF" w:rsidP="0054762C">
            <w:pPr>
              <w:spacing w:line="276" w:lineRule="auto"/>
              <w:jc w:val="both"/>
              <w:rPr>
                <w:rFonts w:cs="Times New Roman"/>
                <w:sz w:val="20"/>
                <w:szCs w:val="20"/>
              </w:rPr>
            </w:pPr>
            <w:r>
              <w:rPr>
                <w:rFonts w:cs="Times New Roman"/>
                <w:i/>
                <w:iCs/>
                <w:noProof/>
                <w:sz w:val="20"/>
                <w:szCs w:val="20"/>
                <w:lang w:val="hr"/>
              </w:rPr>
              <w:t>70 034 030</w:t>
            </w:r>
          </w:p>
        </w:tc>
      </w:tr>
    </w:tbl>
    <w:p w14:paraId="42FA99B1" w14:textId="77777777" w:rsidR="00CB4EBF" w:rsidRPr="001C431F" w:rsidRDefault="00CB4EBF" w:rsidP="00CB4EBF">
      <w:pPr>
        <w:spacing w:after="0" w:line="240" w:lineRule="auto"/>
        <w:jc w:val="both"/>
        <w:rPr>
          <w:rFonts w:eastAsia="Times New Roman" w:cs="Times New Roman"/>
          <w:b/>
          <w:iCs/>
          <w:noProof/>
          <w:sz w:val="20"/>
          <w:szCs w:val="20"/>
        </w:rPr>
      </w:pPr>
    </w:p>
    <w:p w14:paraId="22E6F465"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p>
    <w:p w14:paraId="113A790C"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r>
        <w:rPr>
          <w:rFonts w:eastAsia="Times New Roman" w:cs="Times New Roman"/>
          <w:b/>
          <w:bCs/>
          <w:noProof/>
          <w:sz w:val="20"/>
          <w:szCs w:val="20"/>
          <w:lang w:val="hr"/>
        </w:rPr>
        <w:t>3.2.</w:t>
      </w:r>
      <w:r>
        <w:rPr>
          <w:rFonts w:eastAsia="Times New Roman" w:cs="Times New Roman"/>
          <w:b/>
          <w:bCs/>
          <w:noProof/>
          <w:sz w:val="20"/>
          <w:szCs w:val="20"/>
          <w:lang w:val="hr"/>
        </w:rPr>
        <w:tab/>
        <w:t>Ukupna odobrena financijska sredstva prema fondu i nacionalnom sufinanciranju</w:t>
      </w:r>
      <w:r>
        <w:rPr>
          <w:rStyle w:val="FootnoteReference"/>
          <w:rFonts w:eastAsia="Times New Roman" w:cs="Times New Roman"/>
          <w:b/>
          <w:bCs/>
          <w:noProof/>
          <w:sz w:val="20"/>
          <w:szCs w:val="20"/>
          <w:lang w:val="hr"/>
        </w:rPr>
        <w:footnoteReference w:id="6"/>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CB4EBF" w:rsidRPr="00A23750" w14:paraId="70B4A0C9" w14:textId="77777777" w:rsidTr="0054762C">
        <w:tc>
          <w:tcPr>
            <w:tcW w:w="9288" w:type="dxa"/>
          </w:tcPr>
          <w:p w14:paraId="0B42773D" w14:textId="77777777" w:rsidR="00CB4EBF" w:rsidRPr="001C431F" w:rsidRDefault="00CB4EBF" w:rsidP="0054762C">
            <w:pPr>
              <w:jc w:val="both"/>
              <w:rPr>
                <w:rFonts w:cs="Times New Roman"/>
                <w:sz w:val="20"/>
                <w:szCs w:val="20"/>
              </w:rPr>
            </w:pPr>
            <w:r>
              <w:rPr>
                <w:rFonts w:cs="Times New Roman"/>
                <w:i/>
                <w:iCs/>
                <w:color w:val="000000"/>
                <w:sz w:val="20"/>
                <w:szCs w:val="20"/>
                <w:lang w:val="hr"/>
              </w:rPr>
              <w:t xml:space="preserve">Upućivanje: </w:t>
            </w:r>
            <w:r>
              <w:rPr>
                <w:rFonts w:cs="Times New Roman"/>
                <w:i/>
                <w:iCs/>
                <w:noProof/>
                <w:color w:val="000000"/>
                <w:sz w:val="20"/>
                <w:szCs w:val="20"/>
                <w:lang w:val="hr"/>
              </w:rPr>
              <w:t>članak 17. stavak 3. točka (f) podtočka ii., članak 17. stavak 4. točke od (a) do (d)</w:t>
            </w:r>
          </w:p>
          <w:p w14:paraId="0FE50347" w14:textId="77777777" w:rsidR="00CB4EBF" w:rsidRPr="001C431F" w:rsidRDefault="00CB4EBF" w:rsidP="0054762C">
            <w:pPr>
              <w:autoSpaceDE w:val="0"/>
              <w:autoSpaceDN w:val="0"/>
              <w:adjustRightInd w:val="0"/>
              <w:jc w:val="both"/>
              <w:rPr>
                <w:rFonts w:cs="Times New Roman"/>
                <w:color w:val="000000"/>
                <w:sz w:val="20"/>
                <w:szCs w:val="20"/>
              </w:rPr>
            </w:pPr>
          </w:p>
          <w:p w14:paraId="5FBB8366" w14:textId="77777777" w:rsidR="00CB4EBF" w:rsidRPr="001C431F" w:rsidRDefault="00CB4EBF" w:rsidP="0054762C">
            <w:pPr>
              <w:autoSpaceDE w:val="0"/>
              <w:autoSpaceDN w:val="0"/>
              <w:adjustRightInd w:val="0"/>
              <w:jc w:val="both"/>
              <w:rPr>
                <w:rFonts w:cs="Times New Roman"/>
                <w:color w:val="000000"/>
                <w:sz w:val="20"/>
                <w:szCs w:val="20"/>
              </w:rPr>
            </w:pPr>
          </w:p>
          <w:p w14:paraId="37ACBA45" w14:textId="77777777" w:rsidR="00CB4EBF" w:rsidRPr="001C431F" w:rsidRDefault="00CB4EBF" w:rsidP="0054762C">
            <w:pPr>
              <w:autoSpaceDE w:val="0"/>
              <w:autoSpaceDN w:val="0"/>
              <w:adjustRightInd w:val="0"/>
              <w:jc w:val="both"/>
              <w:rPr>
                <w:rFonts w:cs="Times New Roman"/>
                <w:color w:val="000000"/>
                <w:sz w:val="20"/>
                <w:szCs w:val="20"/>
              </w:rPr>
            </w:pPr>
          </w:p>
          <w:p w14:paraId="7872B737" w14:textId="77777777" w:rsidR="00CB4EBF" w:rsidRPr="001C431F" w:rsidRDefault="00CB4EBF" w:rsidP="0054762C">
            <w:pPr>
              <w:autoSpaceDE w:val="0"/>
              <w:autoSpaceDN w:val="0"/>
              <w:adjustRightInd w:val="0"/>
              <w:jc w:val="both"/>
              <w:rPr>
                <w:rFonts w:cs="Times New Roman"/>
                <w:color w:val="000000"/>
                <w:sz w:val="20"/>
                <w:szCs w:val="20"/>
              </w:rPr>
            </w:pPr>
          </w:p>
          <w:p w14:paraId="63EBA420" w14:textId="77777777" w:rsidR="00CB4EBF" w:rsidRPr="001C431F" w:rsidRDefault="00CB4EBF" w:rsidP="0054762C">
            <w:pPr>
              <w:autoSpaceDE w:val="0"/>
              <w:autoSpaceDN w:val="0"/>
              <w:adjustRightInd w:val="0"/>
              <w:jc w:val="both"/>
              <w:rPr>
                <w:rFonts w:cs="Times New Roman"/>
                <w:color w:val="000000"/>
                <w:sz w:val="20"/>
                <w:szCs w:val="20"/>
              </w:rPr>
            </w:pPr>
          </w:p>
          <w:p w14:paraId="6204563C" w14:textId="77777777" w:rsidR="00CB4EBF" w:rsidRPr="001C431F" w:rsidRDefault="00CB4EBF" w:rsidP="0054762C">
            <w:pPr>
              <w:autoSpaceDE w:val="0"/>
              <w:autoSpaceDN w:val="0"/>
              <w:adjustRightInd w:val="0"/>
              <w:jc w:val="both"/>
              <w:rPr>
                <w:rFonts w:cs="Times New Roman"/>
                <w:color w:val="000000"/>
                <w:sz w:val="20"/>
                <w:szCs w:val="20"/>
              </w:rPr>
            </w:pPr>
          </w:p>
          <w:p w14:paraId="5B6D2A3D" w14:textId="77777777" w:rsidR="00CB4EBF" w:rsidRPr="001C431F" w:rsidRDefault="00CB4EBF" w:rsidP="0054762C">
            <w:pPr>
              <w:autoSpaceDE w:val="0"/>
              <w:autoSpaceDN w:val="0"/>
              <w:adjustRightInd w:val="0"/>
              <w:jc w:val="both"/>
              <w:rPr>
                <w:rFonts w:cs="Times New Roman"/>
                <w:color w:val="000000"/>
                <w:sz w:val="20"/>
                <w:szCs w:val="20"/>
              </w:rPr>
            </w:pPr>
          </w:p>
          <w:p w14:paraId="05FA5C53" w14:textId="77777777" w:rsidR="00CB4EBF" w:rsidRPr="001C431F" w:rsidRDefault="00CB4EBF" w:rsidP="0054762C">
            <w:pPr>
              <w:autoSpaceDE w:val="0"/>
              <w:autoSpaceDN w:val="0"/>
              <w:adjustRightInd w:val="0"/>
              <w:jc w:val="both"/>
              <w:rPr>
                <w:rFonts w:cs="Times New Roman"/>
                <w:sz w:val="20"/>
                <w:szCs w:val="20"/>
              </w:rPr>
            </w:pPr>
          </w:p>
        </w:tc>
      </w:tr>
    </w:tbl>
    <w:p w14:paraId="5C89278B" w14:textId="77777777" w:rsidR="00CB4EBF" w:rsidRPr="001C431F" w:rsidRDefault="00CB4EBF" w:rsidP="00CB4EBF">
      <w:pPr>
        <w:spacing w:after="0" w:line="240" w:lineRule="auto"/>
        <w:jc w:val="both"/>
        <w:rPr>
          <w:rFonts w:cs="Times New Roman"/>
          <w:color w:val="000000"/>
          <w:sz w:val="20"/>
          <w:szCs w:val="20"/>
        </w:rPr>
        <w:sectPr w:rsidR="00CB4EBF" w:rsidRPr="001C431F" w:rsidSect="00A759BC">
          <w:headerReference w:type="default" r:id="rId11"/>
          <w:footerReference w:type="default" r:id="rId12"/>
          <w:footnotePr>
            <w:numRestart w:val="eachSect"/>
          </w:footnotePr>
          <w:pgSz w:w="11906" w:h="16838" w:code="9"/>
          <w:pgMar w:top="1418" w:right="1418" w:bottom="1418" w:left="1418" w:header="708" w:footer="708" w:gutter="0"/>
          <w:cols w:space="720"/>
          <w:titlePg/>
          <w:docGrid w:linePitch="360"/>
        </w:sectPr>
      </w:pPr>
    </w:p>
    <w:p w14:paraId="14BEE853" w14:textId="77777777" w:rsidR="00CB4EBF" w:rsidRPr="001C431F" w:rsidRDefault="00CB4EBF" w:rsidP="00CB4EBF">
      <w:pPr>
        <w:spacing w:after="0" w:line="240" w:lineRule="auto"/>
        <w:jc w:val="both"/>
        <w:rPr>
          <w:rFonts w:eastAsia="Times New Roman" w:cs="Times New Roman"/>
          <w:noProof/>
          <w:color w:val="000000"/>
          <w:sz w:val="20"/>
          <w:szCs w:val="20"/>
          <w:vertAlign w:val="superscript"/>
        </w:rPr>
      </w:pPr>
      <w:r>
        <w:rPr>
          <w:rFonts w:eastAsia="Times New Roman" w:cs="Times New Roman"/>
          <w:noProof/>
          <w:color w:val="000000"/>
          <w:sz w:val="20"/>
          <w:szCs w:val="20"/>
          <w:lang w:val="hr"/>
        </w:rPr>
        <w:lastRenderedPageBreak/>
        <w:t>Tablica 8.</w:t>
      </w:r>
    </w:p>
    <w:tbl>
      <w:tblPr>
        <w:tblW w:w="15441" w:type="dxa"/>
        <w:tblLayout w:type="fixed"/>
        <w:tblCellMar>
          <w:left w:w="70" w:type="dxa"/>
          <w:right w:w="70" w:type="dxa"/>
        </w:tblCellMar>
        <w:tblLook w:val="04A0" w:firstRow="1" w:lastRow="0" w:firstColumn="1" w:lastColumn="0" w:noHBand="0" w:noVBand="1"/>
      </w:tblPr>
      <w:tblGrid>
        <w:gridCol w:w="983"/>
        <w:gridCol w:w="992"/>
        <w:gridCol w:w="1051"/>
        <w:gridCol w:w="1075"/>
        <w:gridCol w:w="1418"/>
        <w:gridCol w:w="1418"/>
        <w:gridCol w:w="1417"/>
        <w:gridCol w:w="1418"/>
        <w:gridCol w:w="1418"/>
        <w:gridCol w:w="1275"/>
        <w:gridCol w:w="1418"/>
        <w:gridCol w:w="708"/>
        <w:gridCol w:w="850"/>
      </w:tblGrid>
      <w:tr w:rsidR="00CB4EBF" w:rsidRPr="00A23750" w14:paraId="6D706E83" w14:textId="77777777" w:rsidTr="0054762C">
        <w:trPr>
          <w:trHeight w:val="840"/>
        </w:trPr>
        <w:tc>
          <w:tcPr>
            <w:tcW w:w="9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AE3700C" w14:textId="77777777" w:rsidR="00CB4EBF" w:rsidRPr="001C431F" w:rsidRDefault="00CB4EBF" w:rsidP="0054762C">
            <w:pPr>
              <w:spacing w:after="0" w:line="240" w:lineRule="auto"/>
              <w:jc w:val="both"/>
              <w:rPr>
                <w:rFonts w:cs="Times New Roman"/>
                <w:b/>
                <w:i/>
                <w:color w:val="000000"/>
                <w:sz w:val="20"/>
                <w:szCs w:val="20"/>
              </w:rPr>
            </w:pPr>
            <w:r>
              <w:rPr>
                <w:rFonts w:cs="Times New Roman"/>
                <w:b/>
                <w:bCs/>
                <w:i/>
                <w:iCs/>
                <w:color w:val="000000"/>
                <w:sz w:val="20"/>
                <w:szCs w:val="20"/>
                <w:lang w:val="hr"/>
              </w:rPr>
              <w:t xml:space="preserve">Cilj politike br.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24E6989" w14:textId="77777777" w:rsidR="00CB4EBF" w:rsidRPr="001C431F" w:rsidRDefault="00CB4EBF" w:rsidP="0054762C">
            <w:pPr>
              <w:spacing w:after="0" w:line="240" w:lineRule="auto"/>
              <w:jc w:val="both"/>
              <w:rPr>
                <w:rFonts w:cs="Times New Roman"/>
                <w:b/>
                <w:i/>
                <w:color w:val="000000"/>
                <w:sz w:val="20"/>
                <w:szCs w:val="20"/>
              </w:rPr>
            </w:pPr>
            <w:r>
              <w:rPr>
                <w:rFonts w:cs="Times New Roman"/>
                <w:b/>
                <w:bCs/>
                <w:i/>
                <w:iCs/>
                <w:color w:val="000000"/>
                <w:sz w:val="20"/>
                <w:szCs w:val="20"/>
                <w:lang w:val="hr"/>
              </w:rPr>
              <w:t>Prioritet</w:t>
            </w:r>
          </w:p>
        </w:tc>
        <w:tc>
          <w:tcPr>
            <w:tcW w:w="1051" w:type="dxa"/>
            <w:tcBorders>
              <w:top w:val="single" w:sz="8" w:space="0" w:color="auto"/>
              <w:left w:val="nil"/>
              <w:bottom w:val="nil"/>
              <w:right w:val="single" w:sz="8" w:space="0" w:color="auto"/>
            </w:tcBorders>
            <w:shd w:val="clear" w:color="auto" w:fill="auto"/>
            <w:vAlign w:val="center"/>
            <w:hideMark/>
          </w:tcPr>
          <w:p w14:paraId="153352E9" w14:textId="77777777" w:rsidR="00CB4EBF" w:rsidRPr="001C431F" w:rsidRDefault="00CB4EBF" w:rsidP="0054762C">
            <w:pPr>
              <w:spacing w:after="0" w:line="240" w:lineRule="auto"/>
              <w:jc w:val="both"/>
              <w:rPr>
                <w:rFonts w:cs="Times New Roman"/>
                <w:b/>
                <w:i/>
                <w:color w:val="000000"/>
                <w:sz w:val="20"/>
                <w:szCs w:val="20"/>
              </w:rPr>
            </w:pPr>
            <w:r>
              <w:rPr>
                <w:rFonts w:cs="Times New Roman"/>
                <w:b/>
                <w:bCs/>
                <w:i/>
                <w:iCs/>
                <w:color w:val="000000"/>
                <w:sz w:val="20"/>
                <w:szCs w:val="20"/>
                <w:lang w:val="hr"/>
              </w:rPr>
              <w:t>Fond</w:t>
            </w:r>
          </w:p>
        </w:tc>
        <w:tc>
          <w:tcPr>
            <w:tcW w:w="10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D007994" w14:textId="77777777" w:rsidR="00CB4EBF" w:rsidRPr="001C431F" w:rsidRDefault="00CB4EBF" w:rsidP="0054762C">
            <w:pPr>
              <w:spacing w:after="0" w:line="240" w:lineRule="auto"/>
              <w:jc w:val="both"/>
              <w:rPr>
                <w:rFonts w:cs="Times New Roman"/>
                <w:b/>
                <w:i/>
                <w:color w:val="000000"/>
                <w:sz w:val="20"/>
                <w:szCs w:val="20"/>
              </w:rPr>
            </w:pPr>
            <w:r>
              <w:rPr>
                <w:rFonts w:cs="Times New Roman"/>
                <w:b/>
                <w:bCs/>
                <w:i/>
                <w:iCs/>
                <w:color w:val="000000"/>
                <w:sz w:val="20"/>
                <w:szCs w:val="20"/>
                <w:lang w:val="hr"/>
              </w:rPr>
              <w:t>Osnova za izračun potpore EU-a (ukupni prihvatljivi troškovi ili javni doprinos)</w:t>
            </w:r>
          </w:p>
        </w:tc>
        <w:tc>
          <w:tcPr>
            <w:tcW w:w="1418" w:type="dxa"/>
            <w:tcBorders>
              <w:top w:val="single" w:sz="8" w:space="0" w:color="auto"/>
              <w:left w:val="nil"/>
              <w:bottom w:val="nil"/>
              <w:right w:val="single" w:sz="8" w:space="0" w:color="auto"/>
            </w:tcBorders>
            <w:shd w:val="clear" w:color="auto" w:fill="auto"/>
            <w:vAlign w:val="center"/>
            <w:hideMark/>
          </w:tcPr>
          <w:p w14:paraId="464517CE" w14:textId="77777777" w:rsidR="00CB4EBF" w:rsidRPr="001C431F" w:rsidRDefault="00CB4EBF" w:rsidP="0054762C">
            <w:pPr>
              <w:spacing w:after="0" w:line="240" w:lineRule="auto"/>
              <w:jc w:val="both"/>
              <w:rPr>
                <w:rFonts w:cs="Times New Roman"/>
                <w:b/>
                <w:i/>
                <w:color w:val="000000"/>
                <w:sz w:val="20"/>
                <w:szCs w:val="20"/>
              </w:rPr>
            </w:pPr>
            <w:r>
              <w:rPr>
                <w:rFonts w:cs="Times New Roman"/>
                <w:b/>
                <w:bCs/>
                <w:i/>
                <w:iCs/>
                <w:color w:val="000000"/>
                <w:sz w:val="20"/>
                <w:szCs w:val="20"/>
                <w:lang w:val="hr"/>
              </w:rPr>
              <w:t>Doprinos EU-a</w:t>
            </w:r>
          </w:p>
        </w:tc>
        <w:tc>
          <w:tcPr>
            <w:tcW w:w="283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3AF092F" w14:textId="77777777" w:rsidR="00CB4EBF" w:rsidRPr="001C431F" w:rsidRDefault="00CB4EBF" w:rsidP="0054762C">
            <w:pPr>
              <w:spacing w:after="0" w:line="240" w:lineRule="auto"/>
              <w:jc w:val="both"/>
              <w:rPr>
                <w:rFonts w:eastAsia="Times New Roman" w:cs="Times New Roman"/>
                <w:b/>
                <w:bCs/>
                <w:i/>
                <w:iCs/>
                <w:color w:val="000000"/>
                <w:sz w:val="20"/>
                <w:szCs w:val="20"/>
              </w:rPr>
            </w:pPr>
            <w:r>
              <w:rPr>
                <w:rFonts w:eastAsia="Times New Roman" w:cs="Times New Roman"/>
                <w:b/>
                <w:bCs/>
                <w:i/>
                <w:iCs/>
                <w:color w:val="000000"/>
                <w:sz w:val="20"/>
                <w:szCs w:val="20"/>
                <w:lang w:val="hr"/>
              </w:rPr>
              <w:t xml:space="preserve">Okvirna raščlamba doprinosa EU-a </w:t>
            </w:r>
          </w:p>
        </w:tc>
        <w:tc>
          <w:tcPr>
            <w:tcW w:w="1418" w:type="dxa"/>
            <w:tcBorders>
              <w:top w:val="single" w:sz="8" w:space="0" w:color="auto"/>
              <w:left w:val="nil"/>
              <w:bottom w:val="nil"/>
              <w:right w:val="single" w:sz="8" w:space="0" w:color="auto"/>
            </w:tcBorders>
            <w:shd w:val="clear" w:color="auto" w:fill="auto"/>
            <w:vAlign w:val="center"/>
            <w:hideMark/>
          </w:tcPr>
          <w:p w14:paraId="4D0037A0" w14:textId="77777777" w:rsidR="00CB4EBF" w:rsidRPr="001C431F" w:rsidRDefault="00CB4EBF" w:rsidP="0054762C">
            <w:pPr>
              <w:spacing w:after="0" w:line="240" w:lineRule="auto"/>
              <w:jc w:val="both"/>
              <w:rPr>
                <w:rFonts w:cs="Times New Roman"/>
                <w:b/>
                <w:i/>
                <w:color w:val="000000"/>
                <w:sz w:val="20"/>
                <w:szCs w:val="20"/>
              </w:rPr>
            </w:pPr>
            <w:r>
              <w:rPr>
                <w:rFonts w:cs="Times New Roman"/>
                <w:b/>
                <w:bCs/>
                <w:i/>
                <w:iCs/>
                <w:color w:val="000000"/>
                <w:sz w:val="20"/>
                <w:szCs w:val="20"/>
                <w:lang w:val="hr"/>
              </w:rPr>
              <w:t>Nacionalni doprinos</w:t>
            </w:r>
          </w:p>
        </w:tc>
        <w:tc>
          <w:tcPr>
            <w:tcW w:w="26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62D004" w14:textId="77777777" w:rsidR="00CB4EBF" w:rsidRPr="001C431F" w:rsidRDefault="00CB4EBF" w:rsidP="0054762C">
            <w:pPr>
              <w:spacing w:after="0" w:line="240" w:lineRule="auto"/>
              <w:jc w:val="both"/>
              <w:rPr>
                <w:rFonts w:cs="Times New Roman"/>
                <w:b/>
                <w:i/>
                <w:color w:val="000000"/>
                <w:sz w:val="20"/>
                <w:szCs w:val="20"/>
              </w:rPr>
            </w:pPr>
            <w:r>
              <w:rPr>
                <w:rFonts w:cs="Times New Roman"/>
                <w:b/>
                <w:bCs/>
                <w:i/>
                <w:iCs/>
                <w:color w:val="000000"/>
                <w:sz w:val="20"/>
                <w:szCs w:val="20"/>
                <w:lang w:val="hr"/>
              </w:rPr>
              <w:t>Okvirna raščlamba nacionalnog doprinosa</w:t>
            </w:r>
          </w:p>
        </w:tc>
        <w:tc>
          <w:tcPr>
            <w:tcW w:w="1418" w:type="dxa"/>
            <w:tcBorders>
              <w:top w:val="single" w:sz="8" w:space="0" w:color="auto"/>
              <w:left w:val="nil"/>
              <w:bottom w:val="nil"/>
              <w:right w:val="single" w:sz="8" w:space="0" w:color="auto"/>
            </w:tcBorders>
            <w:shd w:val="clear" w:color="auto" w:fill="auto"/>
            <w:vAlign w:val="center"/>
            <w:hideMark/>
          </w:tcPr>
          <w:p w14:paraId="15D2E998" w14:textId="77777777" w:rsidR="00CB4EBF" w:rsidRPr="001C431F" w:rsidRDefault="00CB4EBF" w:rsidP="0054762C">
            <w:pPr>
              <w:spacing w:after="0" w:line="240" w:lineRule="auto"/>
              <w:jc w:val="both"/>
              <w:rPr>
                <w:rFonts w:cs="Times New Roman"/>
                <w:b/>
                <w:i/>
                <w:color w:val="000000"/>
                <w:sz w:val="20"/>
                <w:szCs w:val="20"/>
              </w:rPr>
            </w:pPr>
            <w:r>
              <w:rPr>
                <w:rFonts w:cs="Times New Roman"/>
                <w:b/>
                <w:bCs/>
                <w:i/>
                <w:iCs/>
                <w:color w:val="000000"/>
                <w:sz w:val="20"/>
                <w:szCs w:val="20"/>
                <w:lang w:val="hr"/>
              </w:rPr>
              <w:t xml:space="preserve">Ukupno </w:t>
            </w:r>
          </w:p>
        </w:tc>
        <w:tc>
          <w:tcPr>
            <w:tcW w:w="708" w:type="dxa"/>
            <w:tcBorders>
              <w:top w:val="single" w:sz="8" w:space="0" w:color="auto"/>
              <w:left w:val="nil"/>
              <w:bottom w:val="nil"/>
              <w:right w:val="single" w:sz="8" w:space="0" w:color="auto"/>
            </w:tcBorders>
            <w:shd w:val="clear" w:color="auto" w:fill="auto"/>
            <w:vAlign w:val="center"/>
            <w:hideMark/>
          </w:tcPr>
          <w:p w14:paraId="57583247" w14:textId="77777777" w:rsidR="00CB4EBF" w:rsidRPr="001C431F" w:rsidRDefault="00CB4EBF" w:rsidP="0054762C">
            <w:pPr>
              <w:spacing w:after="0" w:line="240" w:lineRule="auto"/>
              <w:jc w:val="both"/>
              <w:rPr>
                <w:rFonts w:cs="Times New Roman"/>
                <w:b/>
                <w:i/>
                <w:color w:val="000000"/>
                <w:sz w:val="20"/>
                <w:szCs w:val="20"/>
              </w:rPr>
            </w:pPr>
            <w:r>
              <w:rPr>
                <w:rFonts w:cs="Times New Roman"/>
                <w:b/>
                <w:bCs/>
                <w:i/>
                <w:iCs/>
                <w:color w:val="000000"/>
                <w:sz w:val="20"/>
                <w:szCs w:val="20"/>
                <w:lang w:val="hr"/>
              </w:rPr>
              <w:t>Stopa sufinanciranja</w:t>
            </w:r>
          </w:p>
        </w:tc>
        <w:tc>
          <w:tcPr>
            <w:tcW w:w="850" w:type="dxa"/>
            <w:tcBorders>
              <w:top w:val="single" w:sz="8" w:space="0" w:color="auto"/>
              <w:left w:val="nil"/>
              <w:bottom w:val="nil"/>
              <w:right w:val="single" w:sz="8" w:space="0" w:color="auto"/>
            </w:tcBorders>
            <w:shd w:val="clear" w:color="auto" w:fill="auto"/>
            <w:vAlign w:val="center"/>
            <w:hideMark/>
          </w:tcPr>
          <w:p w14:paraId="6D8DA143" w14:textId="77777777" w:rsidR="00CB4EBF" w:rsidRPr="001C431F" w:rsidRDefault="00CB4EBF" w:rsidP="0054762C">
            <w:pPr>
              <w:spacing w:after="0" w:line="240" w:lineRule="auto"/>
              <w:jc w:val="both"/>
              <w:rPr>
                <w:rFonts w:cs="Times New Roman"/>
                <w:b/>
                <w:i/>
                <w:color w:val="000000"/>
                <w:sz w:val="20"/>
                <w:szCs w:val="20"/>
              </w:rPr>
            </w:pPr>
            <w:r>
              <w:rPr>
                <w:rFonts w:cs="Times New Roman"/>
                <w:b/>
                <w:bCs/>
                <w:i/>
                <w:iCs/>
                <w:color w:val="000000"/>
                <w:sz w:val="20"/>
                <w:szCs w:val="20"/>
                <w:lang w:val="hr"/>
              </w:rPr>
              <w:t>Doprinosi trećih zemalja</w:t>
            </w:r>
          </w:p>
        </w:tc>
      </w:tr>
      <w:tr w:rsidR="00CB4EBF" w:rsidRPr="00A23750" w14:paraId="66A8BF62" w14:textId="77777777" w:rsidTr="0054762C">
        <w:trPr>
          <w:trHeight w:val="430"/>
        </w:trPr>
        <w:tc>
          <w:tcPr>
            <w:tcW w:w="983" w:type="dxa"/>
            <w:vMerge/>
            <w:tcBorders>
              <w:top w:val="single" w:sz="8" w:space="0" w:color="auto"/>
              <w:left w:val="single" w:sz="8" w:space="0" w:color="auto"/>
              <w:bottom w:val="single" w:sz="8" w:space="0" w:color="000000"/>
              <w:right w:val="single" w:sz="8" w:space="0" w:color="auto"/>
            </w:tcBorders>
            <w:vAlign w:val="center"/>
            <w:hideMark/>
          </w:tcPr>
          <w:p w14:paraId="0D4C9C71" w14:textId="77777777" w:rsidR="00CB4EBF" w:rsidRPr="001C431F" w:rsidRDefault="00CB4EBF" w:rsidP="0054762C">
            <w:pPr>
              <w:spacing w:after="0" w:line="240" w:lineRule="auto"/>
              <w:jc w:val="both"/>
              <w:rPr>
                <w:rFonts w:eastAsia="Times New Roman" w:cs="Times New Roman"/>
                <w:b/>
                <w:bCs/>
                <w:i/>
                <w:iCs/>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4F1A5079" w14:textId="77777777" w:rsidR="00CB4EBF" w:rsidRPr="001C431F" w:rsidRDefault="00CB4EBF" w:rsidP="0054762C">
            <w:pPr>
              <w:spacing w:after="0" w:line="240" w:lineRule="auto"/>
              <w:jc w:val="both"/>
              <w:rPr>
                <w:rFonts w:eastAsia="Times New Roman" w:cs="Times New Roman"/>
                <w:b/>
                <w:bCs/>
                <w:i/>
                <w:iCs/>
                <w:color w:val="000000"/>
                <w:sz w:val="20"/>
                <w:szCs w:val="20"/>
              </w:rPr>
            </w:pPr>
          </w:p>
        </w:tc>
        <w:tc>
          <w:tcPr>
            <w:tcW w:w="1051" w:type="dxa"/>
            <w:tcBorders>
              <w:top w:val="nil"/>
              <w:left w:val="nil"/>
              <w:bottom w:val="nil"/>
              <w:right w:val="single" w:sz="8" w:space="0" w:color="auto"/>
            </w:tcBorders>
            <w:shd w:val="clear" w:color="auto" w:fill="auto"/>
            <w:vAlign w:val="center"/>
            <w:hideMark/>
          </w:tcPr>
          <w:p w14:paraId="3F8E1F5A" w14:textId="77777777" w:rsidR="00CB4EBF" w:rsidRPr="001C431F" w:rsidRDefault="00CB4EBF" w:rsidP="0054762C">
            <w:pPr>
              <w:spacing w:after="0" w:line="240" w:lineRule="auto"/>
              <w:jc w:val="both"/>
              <w:rPr>
                <w:rFonts w:eastAsia="Times New Roman" w:cs="Times New Roman"/>
                <w:b/>
                <w:bCs/>
                <w:i/>
                <w:iCs/>
                <w:color w:val="000000"/>
                <w:sz w:val="20"/>
                <w:szCs w:val="20"/>
              </w:rPr>
            </w:pPr>
            <w:r>
              <w:rPr>
                <w:rFonts w:eastAsia="Times New Roman" w:cs="Times New Roman"/>
                <w:b/>
                <w:bCs/>
                <w:i/>
                <w:iCs/>
                <w:color w:val="000000"/>
                <w:sz w:val="20"/>
                <w:szCs w:val="20"/>
                <w:lang w:val="hr"/>
              </w:rPr>
              <w:t>(ako je to primjenjivo)</w:t>
            </w:r>
          </w:p>
        </w:tc>
        <w:tc>
          <w:tcPr>
            <w:tcW w:w="1075" w:type="dxa"/>
            <w:vMerge/>
            <w:tcBorders>
              <w:top w:val="single" w:sz="8" w:space="0" w:color="auto"/>
              <w:left w:val="single" w:sz="8" w:space="0" w:color="auto"/>
              <w:bottom w:val="single" w:sz="8" w:space="0" w:color="000000"/>
              <w:right w:val="single" w:sz="8" w:space="0" w:color="auto"/>
            </w:tcBorders>
            <w:vAlign w:val="center"/>
            <w:hideMark/>
          </w:tcPr>
          <w:p w14:paraId="4A55A107" w14:textId="77777777" w:rsidR="00CB4EBF" w:rsidRPr="001C431F" w:rsidRDefault="00CB4EBF" w:rsidP="0054762C">
            <w:pPr>
              <w:spacing w:after="0" w:line="240" w:lineRule="auto"/>
              <w:jc w:val="both"/>
              <w:rPr>
                <w:rFonts w:eastAsia="Times New Roman" w:cs="Times New Roman"/>
                <w:b/>
                <w:bCs/>
                <w:i/>
                <w:iCs/>
                <w:color w:val="000000"/>
                <w:sz w:val="20"/>
                <w:szCs w:val="20"/>
              </w:rPr>
            </w:pPr>
          </w:p>
        </w:tc>
        <w:tc>
          <w:tcPr>
            <w:tcW w:w="1418" w:type="dxa"/>
            <w:tcBorders>
              <w:top w:val="nil"/>
              <w:left w:val="nil"/>
              <w:bottom w:val="nil"/>
              <w:right w:val="single" w:sz="8" w:space="0" w:color="auto"/>
            </w:tcBorders>
            <w:shd w:val="clear" w:color="auto" w:fill="auto"/>
            <w:vAlign w:val="center"/>
            <w:hideMark/>
          </w:tcPr>
          <w:p w14:paraId="520F6182" w14:textId="77777777" w:rsidR="00CB4EBF" w:rsidRPr="001C431F" w:rsidRDefault="00CB4EBF" w:rsidP="0054762C">
            <w:pPr>
              <w:spacing w:after="0" w:line="240" w:lineRule="auto"/>
              <w:jc w:val="both"/>
              <w:rPr>
                <w:rFonts w:eastAsia="Times New Roman" w:cs="Times New Roman"/>
                <w:i/>
                <w:iCs/>
                <w:color w:val="000000"/>
                <w:sz w:val="20"/>
                <w:szCs w:val="20"/>
              </w:rPr>
            </w:pPr>
            <w:r>
              <w:rPr>
                <w:rFonts w:eastAsia="Times New Roman" w:cs="Times New Roman"/>
                <w:i/>
                <w:iCs/>
                <w:color w:val="000000"/>
                <w:sz w:val="20"/>
                <w:szCs w:val="20"/>
                <w:lang w:val="hr"/>
              </w:rPr>
              <w:t>(a)=(a1)+(a2)</w:t>
            </w:r>
          </w:p>
        </w:tc>
        <w:tc>
          <w:tcPr>
            <w:tcW w:w="2835" w:type="dxa"/>
            <w:gridSpan w:val="2"/>
            <w:vMerge/>
            <w:tcBorders>
              <w:top w:val="nil"/>
              <w:left w:val="nil"/>
              <w:bottom w:val="nil"/>
              <w:right w:val="single" w:sz="8" w:space="0" w:color="auto"/>
            </w:tcBorders>
            <w:vAlign w:val="center"/>
            <w:hideMark/>
          </w:tcPr>
          <w:p w14:paraId="331C9B82" w14:textId="77777777" w:rsidR="00CB4EBF" w:rsidRPr="001C431F" w:rsidRDefault="00CB4EBF" w:rsidP="0054762C">
            <w:pPr>
              <w:spacing w:after="0" w:line="240" w:lineRule="auto"/>
              <w:jc w:val="both"/>
              <w:rPr>
                <w:rFonts w:eastAsia="Times New Roman" w:cs="Times New Roman"/>
                <w:b/>
                <w:bCs/>
                <w:i/>
                <w:iCs/>
                <w:color w:val="000000"/>
                <w:sz w:val="20"/>
                <w:szCs w:val="20"/>
              </w:rPr>
            </w:pPr>
          </w:p>
        </w:tc>
        <w:tc>
          <w:tcPr>
            <w:tcW w:w="1418" w:type="dxa"/>
            <w:tcBorders>
              <w:top w:val="nil"/>
              <w:left w:val="nil"/>
              <w:bottom w:val="nil"/>
              <w:right w:val="single" w:sz="8" w:space="0" w:color="auto"/>
            </w:tcBorders>
            <w:shd w:val="clear" w:color="auto" w:fill="auto"/>
            <w:vAlign w:val="center"/>
            <w:hideMark/>
          </w:tcPr>
          <w:p w14:paraId="6B86978D" w14:textId="77777777" w:rsidR="00CB4EBF" w:rsidRPr="001C431F" w:rsidRDefault="00CB4EBF" w:rsidP="0054762C">
            <w:pPr>
              <w:spacing w:after="0" w:line="240" w:lineRule="auto"/>
              <w:jc w:val="both"/>
              <w:rPr>
                <w:rFonts w:eastAsia="Times New Roman" w:cs="Times New Roman"/>
                <w:i/>
                <w:iCs/>
                <w:color w:val="000000"/>
                <w:sz w:val="20"/>
                <w:szCs w:val="20"/>
              </w:rPr>
            </w:pPr>
            <w:r>
              <w:rPr>
                <w:rFonts w:eastAsia="Times New Roman" w:cs="Times New Roman"/>
                <w:i/>
                <w:iCs/>
                <w:color w:val="000000"/>
                <w:sz w:val="20"/>
                <w:szCs w:val="20"/>
                <w:lang w:val="hr"/>
              </w:rPr>
              <w:t>(b)=(c)+(d)</w:t>
            </w:r>
          </w:p>
        </w:tc>
        <w:tc>
          <w:tcPr>
            <w:tcW w:w="2693" w:type="dxa"/>
            <w:gridSpan w:val="2"/>
            <w:vMerge/>
            <w:tcBorders>
              <w:top w:val="nil"/>
              <w:left w:val="nil"/>
              <w:bottom w:val="nil"/>
              <w:right w:val="single" w:sz="8" w:space="0" w:color="auto"/>
            </w:tcBorders>
            <w:vAlign w:val="center"/>
            <w:hideMark/>
          </w:tcPr>
          <w:p w14:paraId="2570E772" w14:textId="77777777" w:rsidR="00CB4EBF" w:rsidRPr="001C431F" w:rsidRDefault="00CB4EBF" w:rsidP="0054762C">
            <w:pPr>
              <w:spacing w:after="0" w:line="240" w:lineRule="auto"/>
              <w:jc w:val="both"/>
              <w:rPr>
                <w:rFonts w:eastAsia="Times New Roman" w:cs="Times New Roman"/>
                <w:b/>
                <w:bCs/>
                <w:i/>
                <w:iCs/>
                <w:color w:val="000000"/>
                <w:sz w:val="20"/>
                <w:szCs w:val="20"/>
              </w:rPr>
            </w:pPr>
          </w:p>
        </w:tc>
        <w:tc>
          <w:tcPr>
            <w:tcW w:w="1418" w:type="dxa"/>
            <w:tcBorders>
              <w:top w:val="nil"/>
              <w:left w:val="nil"/>
              <w:bottom w:val="nil"/>
              <w:right w:val="single" w:sz="8" w:space="0" w:color="auto"/>
            </w:tcBorders>
            <w:shd w:val="clear" w:color="auto" w:fill="auto"/>
            <w:vAlign w:val="center"/>
            <w:hideMark/>
          </w:tcPr>
          <w:p w14:paraId="776BD78D" w14:textId="77777777" w:rsidR="00CB4EBF" w:rsidRPr="001C431F" w:rsidRDefault="00CB4EBF" w:rsidP="0054762C">
            <w:pPr>
              <w:spacing w:after="0" w:line="240" w:lineRule="auto"/>
              <w:jc w:val="both"/>
              <w:rPr>
                <w:rFonts w:eastAsia="Times New Roman" w:cs="Times New Roman"/>
                <w:i/>
                <w:iCs/>
                <w:color w:val="000000"/>
                <w:sz w:val="20"/>
                <w:szCs w:val="20"/>
              </w:rPr>
            </w:pPr>
            <w:r>
              <w:rPr>
                <w:rFonts w:eastAsia="Times New Roman" w:cs="Times New Roman"/>
                <w:i/>
                <w:iCs/>
                <w:color w:val="000000"/>
                <w:sz w:val="20"/>
                <w:szCs w:val="20"/>
                <w:lang w:val="hr"/>
              </w:rPr>
              <w:t> </w:t>
            </w:r>
          </w:p>
        </w:tc>
        <w:tc>
          <w:tcPr>
            <w:tcW w:w="708" w:type="dxa"/>
            <w:tcBorders>
              <w:top w:val="nil"/>
              <w:left w:val="nil"/>
              <w:bottom w:val="nil"/>
              <w:right w:val="single" w:sz="8" w:space="0" w:color="auto"/>
            </w:tcBorders>
            <w:shd w:val="clear" w:color="auto" w:fill="auto"/>
            <w:vAlign w:val="center"/>
            <w:hideMark/>
          </w:tcPr>
          <w:p w14:paraId="7F3945F0" w14:textId="77777777" w:rsidR="00CB4EBF" w:rsidRPr="001C431F" w:rsidRDefault="00CB4EBF" w:rsidP="0054762C">
            <w:pPr>
              <w:spacing w:after="0" w:line="240" w:lineRule="auto"/>
              <w:jc w:val="both"/>
              <w:rPr>
                <w:rFonts w:eastAsia="Times New Roman" w:cs="Times New Roman"/>
                <w:i/>
                <w:iCs/>
                <w:color w:val="000000"/>
                <w:sz w:val="20"/>
                <w:szCs w:val="20"/>
              </w:rPr>
            </w:pPr>
            <w:r>
              <w:rPr>
                <w:rFonts w:eastAsia="Times New Roman" w:cs="Times New Roman"/>
                <w:i/>
                <w:iCs/>
                <w:color w:val="000000"/>
                <w:sz w:val="20"/>
                <w:szCs w:val="20"/>
                <w:lang w:val="hr"/>
              </w:rPr>
              <w:t>(f)=(a)/(e)</w:t>
            </w:r>
          </w:p>
        </w:tc>
        <w:tc>
          <w:tcPr>
            <w:tcW w:w="850" w:type="dxa"/>
            <w:tcBorders>
              <w:top w:val="nil"/>
              <w:left w:val="nil"/>
              <w:bottom w:val="nil"/>
              <w:right w:val="single" w:sz="8" w:space="0" w:color="auto"/>
            </w:tcBorders>
            <w:shd w:val="clear" w:color="auto" w:fill="auto"/>
            <w:vAlign w:val="center"/>
            <w:hideMark/>
          </w:tcPr>
          <w:p w14:paraId="533D02FE" w14:textId="77777777" w:rsidR="00CB4EBF" w:rsidRPr="001C431F" w:rsidRDefault="00CB4EBF" w:rsidP="0054762C">
            <w:pPr>
              <w:spacing w:after="0" w:line="240" w:lineRule="auto"/>
              <w:jc w:val="both"/>
              <w:rPr>
                <w:rFonts w:eastAsia="Times New Roman" w:cs="Times New Roman"/>
                <w:i/>
                <w:iCs/>
                <w:color w:val="000000"/>
                <w:sz w:val="20"/>
                <w:szCs w:val="20"/>
              </w:rPr>
            </w:pPr>
            <w:r>
              <w:rPr>
                <w:rFonts w:eastAsia="Times New Roman" w:cs="Times New Roman"/>
                <w:b/>
                <w:bCs/>
                <w:i/>
                <w:iCs/>
                <w:color w:val="000000"/>
                <w:sz w:val="20"/>
                <w:szCs w:val="20"/>
                <w:lang w:val="hr"/>
              </w:rPr>
              <w:t>(u svrhu informiranja)</w:t>
            </w:r>
          </w:p>
        </w:tc>
      </w:tr>
      <w:tr w:rsidR="00CB4EBF" w:rsidRPr="00A23750" w14:paraId="56F0F109" w14:textId="77777777" w:rsidTr="0054762C">
        <w:trPr>
          <w:trHeight w:val="420"/>
        </w:trPr>
        <w:tc>
          <w:tcPr>
            <w:tcW w:w="983" w:type="dxa"/>
            <w:vMerge/>
            <w:tcBorders>
              <w:top w:val="single" w:sz="8" w:space="0" w:color="auto"/>
              <w:left w:val="single" w:sz="8" w:space="0" w:color="auto"/>
              <w:bottom w:val="single" w:sz="8" w:space="0" w:color="000000"/>
              <w:right w:val="single" w:sz="8" w:space="0" w:color="auto"/>
            </w:tcBorders>
            <w:vAlign w:val="center"/>
            <w:hideMark/>
          </w:tcPr>
          <w:p w14:paraId="72C30F21" w14:textId="77777777" w:rsidR="00CB4EBF" w:rsidRPr="001C431F" w:rsidRDefault="00CB4EBF" w:rsidP="0054762C">
            <w:pPr>
              <w:spacing w:after="0" w:line="240" w:lineRule="auto"/>
              <w:jc w:val="both"/>
              <w:rPr>
                <w:rFonts w:cs="Times New Roman"/>
                <w:b/>
                <w:i/>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402860D8" w14:textId="77777777" w:rsidR="00CB4EBF" w:rsidRPr="001C431F" w:rsidRDefault="00CB4EBF" w:rsidP="0054762C">
            <w:pPr>
              <w:spacing w:after="0" w:line="240" w:lineRule="auto"/>
              <w:jc w:val="both"/>
              <w:rPr>
                <w:rFonts w:cs="Times New Roman"/>
                <w:b/>
                <w:i/>
                <w:color w:val="000000"/>
                <w:sz w:val="20"/>
                <w:szCs w:val="20"/>
              </w:rPr>
            </w:pPr>
          </w:p>
        </w:tc>
        <w:tc>
          <w:tcPr>
            <w:tcW w:w="1051" w:type="dxa"/>
            <w:tcBorders>
              <w:top w:val="nil"/>
              <w:left w:val="nil"/>
              <w:bottom w:val="nil"/>
              <w:right w:val="single" w:sz="8" w:space="0" w:color="auto"/>
            </w:tcBorders>
            <w:shd w:val="clear" w:color="auto" w:fill="auto"/>
            <w:hideMark/>
          </w:tcPr>
          <w:p w14:paraId="6818220C" w14:textId="77777777" w:rsidR="00CB4EBF" w:rsidRPr="001C431F" w:rsidRDefault="00CB4EBF" w:rsidP="0054762C">
            <w:pPr>
              <w:spacing w:after="0" w:line="240" w:lineRule="auto"/>
              <w:jc w:val="both"/>
              <w:rPr>
                <w:rFonts w:cs="Times New Roman"/>
                <w:color w:val="000000"/>
                <w:sz w:val="20"/>
                <w:szCs w:val="20"/>
              </w:rPr>
            </w:pPr>
            <w:r>
              <w:rPr>
                <w:rFonts w:eastAsia="Times New Roman" w:cs="Times New Roman"/>
                <w:color w:val="000000"/>
                <w:sz w:val="20"/>
                <w:szCs w:val="20"/>
                <w:lang w:val="hr"/>
              </w:rPr>
              <w:t> </w:t>
            </w:r>
          </w:p>
        </w:tc>
        <w:tc>
          <w:tcPr>
            <w:tcW w:w="1075" w:type="dxa"/>
            <w:vMerge/>
            <w:tcBorders>
              <w:top w:val="single" w:sz="8" w:space="0" w:color="auto"/>
              <w:left w:val="single" w:sz="8" w:space="0" w:color="auto"/>
              <w:bottom w:val="single" w:sz="8" w:space="0" w:color="000000"/>
              <w:right w:val="single" w:sz="8" w:space="0" w:color="auto"/>
            </w:tcBorders>
            <w:vAlign w:val="center"/>
            <w:hideMark/>
          </w:tcPr>
          <w:p w14:paraId="00DF0F90" w14:textId="77777777" w:rsidR="00CB4EBF" w:rsidRPr="001C431F" w:rsidRDefault="00CB4EBF" w:rsidP="0054762C">
            <w:pPr>
              <w:spacing w:after="0" w:line="240" w:lineRule="auto"/>
              <w:jc w:val="both"/>
              <w:rPr>
                <w:rFonts w:cs="Times New Roman"/>
                <w:b/>
                <w:i/>
                <w:color w:val="000000"/>
                <w:sz w:val="20"/>
                <w:szCs w:val="20"/>
              </w:rPr>
            </w:pPr>
          </w:p>
        </w:tc>
        <w:tc>
          <w:tcPr>
            <w:tcW w:w="1418" w:type="dxa"/>
            <w:tcBorders>
              <w:top w:val="nil"/>
              <w:left w:val="nil"/>
              <w:bottom w:val="nil"/>
              <w:right w:val="single" w:sz="8" w:space="0" w:color="auto"/>
            </w:tcBorders>
            <w:shd w:val="clear" w:color="auto" w:fill="auto"/>
            <w:vAlign w:val="center"/>
            <w:hideMark/>
          </w:tcPr>
          <w:p w14:paraId="0864BBB1" w14:textId="77777777" w:rsidR="00CB4EBF" w:rsidRPr="001C431F" w:rsidRDefault="00CB4EBF" w:rsidP="0054762C">
            <w:pPr>
              <w:spacing w:after="0" w:line="240" w:lineRule="auto"/>
              <w:jc w:val="both"/>
              <w:rPr>
                <w:rFonts w:cs="Times New Roman"/>
                <w:b/>
                <w:i/>
                <w:color w:val="000000"/>
                <w:sz w:val="20"/>
                <w:szCs w:val="20"/>
              </w:rPr>
            </w:pPr>
            <w:r>
              <w:rPr>
                <w:rFonts w:eastAsia="Times New Roman" w:cs="Times New Roman"/>
                <w:b/>
                <w:bCs/>
                <w:i/>
                <w:iCs/>
                <w:color w:val="000000"/>
                <w:sz w:val="20"/>
                <w:szCs w:val="20"/>
                <w:lang w:val="hr"/>
              </w:rPr>
              <w:t> </w:t>
            </w:r>
          </w:p>
        </w:tc>
        <w:tc>
          <w:tcPr>
            <w:tcW w:w="1418" w:type="dxa"/>
            <w:tcBorders>
              <w:top w:val="nil"/>
              <w:left w:val="single" w:sz="8" w:space="0" w:color="auto"/>
              <w:bottom w:val="single" w:sz="8" w:space="0" w:color="000000"/>
              <w:right w:val="single" w:sz="8" w:space="0" w:color="auto"/>
            </w:tcBorders>
            <w:shd w:val="clear" w:color="auto" w:fill="auto"/>
            <w:vAlign w:val="center"/>
            <w:hideMark/>
          </w:tcPr>
          <w:p w14:paraId="1B812782" w14:textId="77777777" w:rsidR="00CB4EBF" w:rsidRPr="001C431F" w:rsidRDefault="00CB4EBF" w:rsidP="0054762C">
            <w:pPr>
              <w:spacing w:after="0" w:line="240" w:lineRule="auto"/>
              <w:jc w:val="both"/>
              <w:rPr>
                <w:rFonts w:cs="Times New Roman"/>
                <w:b/>
                <w:color w:val="000000"/>
                <w:sz w:val="20"/>
                <w:szCs w:val="20"/>
              </w:rPr>
            </w:pPr>
            <w:r>
              <w:rPr>
                <w:rFonts w:eastAsia="Times New Roman" w:cs="Times New Roman"/>
                <w:b/>
                <w:bCs/>
                <w:color w:val="000000"/>
                <w:sz w:val="20"/>
                <w:szCs w:val="20"/>
                <w:lang w:val="hr"/>
              </w:rPr>
              <w:t>Bez tehničke pomoći na temelju članka 27. stavka 1. (a1)</w:t>
            </w:r>
          </w:p>
        </w:tc>
        <w:tc>
          <w:tcPr>
            <w:tcW w:w="1417" w:type="dxa"/>
            <w:tcBorders>
              <w:top w:val="nil"/>
              <w:left w:val="nil"/>
              <w:bottom w:val="nil"/>
              <w:right w:val="single" w:sz="8" w:space="0" w:color="auto"/>
            </w:tcBorders>
            <w:shd w:val="clear" w:color="auto" w:fill="auto"/>
            <w:vAlign w:val="center"/>
            <w:hideMark/>
          </w:tcPr>
          <w:p w14:paraId="44D559AA" w14:textId="77777777" w:rsidR="00CB4EBF" w:rsidRPr="001C431F" w:rsidRDefault="00CB4EBF" w:rsidP="0054762C">
            <w:pPr>
              <w:spacing w:after="0" w:line="240" w:lineRule="auto"/>
              <w:jc w:val="both"/>
              <w:rPr>
                <w:rFonts w:eastAsia="Times New Roman" w:cs="Times New Roman"/>
                <w:b/>
                <w:bCs/>
                <w:color w:val="000000"/>
                <w:sz w:val="20"/>
                <w:szCs w:val="20"/>
              </w:rPr>
            </w:pPr>
            <w:r>
              <w:rPr>
                <w:rFonts w:eastAsia="Times New Roman" w:cs="Times New Roman"/>
                <w:b/>
                <w:bCs/>
                <w:color w:val="000000"/>
                <w:sz w:val="20"/>
                <w:szCs w:val="20"/>
                <w:lang w:val="hr"/>
              </w:rPr>
              <w:t>Za tehničku pomoć na temelju članka 27. stavka 1.</w:t>
            </w:r>
          </w:p>
        </w:tc>
        <w:tc>
          <w:tcPr>
            <w:tcW w:w="1418" w:type="dxa"/>
            <w:tcBorders>
              <w:top w:val="nil"/>
              <w:left w:val="nil"/>
              <w:bottom w:val="nil"/>
              <w:right w:val="single" w:sz="8" w:space="0" w:color="auto"/>
            </w:tcBorders>
            <w:shd w:val="clear" w:color="auto" w:fill="auto"/>
            <w:hideMark/>
          </w:tcPr>
          <w:p w14:paraId="47DDB021" w14:textId="77777777" w:rsidR="00CB4EBF" w:rsidRPr="001C431F" w:rsidRDefault="00CB4EBF" w:rsidP="0054762C">
            <w:pPr>
              <w:spacing w:after="0" w:line="240" w:lineRule="auto"/>
              <w:jc w:val="both"/>
              <w:rPr>
                <w:rFonts w:eastAsia="Times New Roman" w:cs="Times New Roman"/>
                <w:color w:val="000000"/>
                <w:sz w:val="20"/>
                <w:szCs w:val="20"/>
              </w:rPr>
            </w:pPr>
            <w:r>
              <w:rPr>
                <w:rFonts w:eastAsia="Times New Roman" w:cs="Times New Roman"/>
                <w:color w:val="000000"/>
                <w:sz w:val="20"/>
                <w:szCs w:val="20"/>
                <w:lang w:val="hr"/>
              </w:rPr>
              <w:t> </w:t>
            </w:r>
          </w:p>
        </w:tc>
        <w:tc>
          <w:tcPr>
            <w:tcW w:w="1418" w:type="dxa"/>
            <w:tcBorders>
              <w:top w:val="nil"/>
              <w:left w:val="nil"/>
              <w:bottom w:val="nil"/>
              <w:right w:val="single" w:sz="8" w:space="0" w:color="auto"/>
            </w:tcBorders>
            <w:shd w:val="clear" w:color="auto" w:fill="auto"/>
            <w:vAlign w:val="center"/>
            <w:hideMark/>
          </w:tcPr>
          <w:p w14:paraId="1EBAAA39" w14:textId="77777777" w:rsidR="00CB4EBF" w:rsidRPr="001C431F" w:rsidRDefault="00CB4EBF" w:rsidP="0054762C">
            <w:pPr>
              <w:spacing w:after="0" w:line="240" w:lineRule="auto"/>
              <w:jc w:val="both"/>
              <w:rPr>
                <w:rFonts w:cs="Times New Roman"/>
                <w:b/>
                <w:i/>
                <w:color w:val="000000"/>
                <w:sz w:val="20"/>
                <w:szCs w:val="20"/>
              </w:rPr>
            </w:pPr>
            <w:r>
              <w:rPr>
                <w:rFonts w:cs="Times New Roman"/>
                <w:b/>
                <w:bCs/>
                <w:i/>
                <w:iCs/>
                <w:color w:val="000000"/>
                <w:sz w:val="20"/>
                <w:szCs w:val="20"/>
                <w:lang w:val="hr"/>
              </w:rPr>
              <w:t xml:space="preserve">Nacionalno javno </w:t>
            </w:r>
          </w:p>
        </w:tc>
        <w:tc>
          <w:tcPr>
            <w:tcW w:w="1275" w:type="dxa"/>
            <w:tcBorders>
              <w:top w:val="nil"/>
              <w:left w:val="nil"/>
              <w:bottom w:val="nil"/>
              <w:right w:val="single" w:sz="8" w:space="0" w:color="auto"/>
            </w:tcBorders>
            <w:shd w:val="clear" w:color="auto" w:fill="auto"/>
            <w:vAlign w:val="center"/>
            <w:hideMark/>
          </w:tcPr>
          <w:p w14:paraId="7A210413" w14:textId="77777777" w:rsidR="00CB4EBF" w:rsidRPr="001C431F" w:rsidRDefault="00CB4EBF" w:rsidP="0054762C">
            <w:pPr>
              <w:spacing w:after="0" w:line="240" w:lineRule="auto"/>
              <w:jc w:val="both"/>
              <w:rPr>
                <w:rFonts w:cs="Times New Roman"/>
                <w:b/>
                <w:i/>
                <w:color w:val="000000"/>
                <w:sz w:val="20"/>
                <w:szCs w:val="20"/>
              </w:rPr>
            </w:pPr>
            <w:r>
              <w:rPr>
                <w:rFonts w:cs="Times New Roman"/>
                <w:b/>
                <w:bCs/>
                <w:i/>
                <w:iCs/>
                <w:color w:val="000000"/>
                <w:sz w:val="20"/>
                <w:szCs w:val="20"/>
                <w:lang w:val="hr"/>
              </w:rPr>
              <w:t xml:space="preserve">Nacionalno privatno </w:t>
            </w:r>
          </w:p>
        </w:tc>
        <w:tc>
          <w:tcPr>
            <w:tcW w:w="1418" w:type="dxa"/>
            <w:tcBorders>
              <w:top w:val="nil"/>
              <w:left w:val="nil"/>
              <w:bottom w:val="nil"/>
              <w:right w:val="single" w:sz="8" w:space="0" w:color="auto"/>
            </w:tcBorders>
            <w:shd w:val="clear" w:color="auto" w:fill="auto"/>
            <w:vAlign w:val="center"/>
            <w:hideMark/>
          </w:tcPr>
          <w:p w14:paraId="5FA65605" w14:textId="77777777" w:rsidR="00CB4EBF" w:rsidRPr="001C431F" w:rsidRDefault="00CB4EBF" w:rsidP="0054762C">
            <w:pPr>
              <w:spacing w:after="0" w:line="240" w:lineRule="auto"/>
              <w:jc w:val="both"/>
              <w:rPr>
                <w:rFonts w:cs="Times New Roman"/>
                <w:i/>
                <w:color w:val="000000"/>
                <w:sz w:val="20"/>
                <w:szCs w:val="20"/>
              </w:rPr>
            </w:pPr>
            <w:r>
              <w:rPr>
                <w:rFonts w:cs="Times New Roman"/>
                <w:i/>
                <w:iCs/>
                <w:color w:val="000000"/>
                <w:sz w:val="20"/>
                <w:szCs w:val="20"/>
                <w:lang w:val="hr"/>
              </w:rPr>
              <w:t>(e)=(a)+(b)</w:t>
            </w:r>
          </w:p>
        </w:tc>
        <w:tc>
          <w:tcPr>
            <w:tcW w:w="708" w:type="dxa"/>
            <w:tcBorders>
              <w:top w:val="nil"/>
              <w:left w:val="nil"/>
              <w:bottom w:val="nil"/>
              <w:right w:val="single" w:sz="8" w:space="0" w:color="auto"/>
            </w:tcBorders>
            <w:shd w:val="clear" w:color="auto" w:fill="auto"/>
            <w:hideMark/>
          </w:tcPr>
          <w:p w14:paraId="0B3EE73E" w14:textId="77777777" w:rsidR="00CB4EBF" w:rsidRPr="001C431F" w:rsidRDefault="00CB4EBF" w:rsidP="0054762C">
            <w:pPr>
              <w:spacing w:after="0" w:line="240" w:lineRule="auto"/>
              <w:jc w:val="both"/>
              <w:rPr>
                <w:rFonts w:cs="Times New Roman"/>
                <w:color w:val="000000"/>
                <w:sz w:val="20"/>
                <w:szCs w:val="20"/>
              </w:rPr>
            </w:pPr>
            <w:r>
              <w:rPr>
                <w:rFonts w:eastAsia="Times New Roman" w:cs="Times New Roman"/>
                <w:color w:val="000000"/>
                <w:sz w:val="20"/>
                <w:szCs w:val="20"/>
                <w:lang w:val="hr"/>
              </w:rPr>
              <w:t> </w:t>
            </w:r>
          </w:p>
        </w:tc>
        <w:tc>
          <w:tcPr>
            <w:tcW w:w="850" w:type="dxa"/>
            <w:tcBorders>
              <w:top w:val="nil"/>
              <w:left w:val="nil"/>
              <w:bottom w:val="nil"/>
              <w:right w:val="single" w:sz="8" w:space="0" w:color="auto"/>
            </w:tcBorders>
            <w:shd w:val="clear" w:color="auto" w:fill="auto"/>
            <w:hideMark/>
          </w:tcPr>
          <w:p w14:paraId="0739FECF" w14:textId="77777777" w:rsidR="00CB4EBF" w:rsidRPr="001C431F" w:rsidRDefault="00CB4EBF" w:rsidP="0054762C">
            <w:pPr>
              <w:spacing w:after="0" w:line="240" w:lineRule="auto"/>
              <w:jc w:val="both"/>
              <w:rPr>
                <w:rFonts w:cs="Times New Roman"/>
                <w:color w:val="000000"/>
                <w:sz w:val="20"/>
                <w:szCs w:val="20"/>
              </w:rPr>
            </w:pPr>
            <w:r>
              <w:rPr>
                <w:rFonts w:eastAsia="Times New Roman" w:cs="Times New Roman"/>
                <w:color w:val="000000"/>
                <w:sz w:val="20"/>
                <w:szCs w:val="20"/>
                <w:lang w:val="hr"/>
              </w:rPr>
              <w:t> </w:t>
            </w:r>
          </w:p>
        </w:tc>
      </w:tr>
      <w:tr w:rsidR="00CB4EBF" w:rsidRPr="00A23750" w14:paraId="26A3BF95" w14:textId="77777777" w:rsidTr="0054762C">
        <w:trPr>
          <w:trHeight w:val="300"/>
        </w:trPr>
        <w:tc>
          <w:tcPr>
            <w:tcW w:w="983" w:type="dxa"/>
            <w:vMerge/>
            <w:tcBorders>
              <w:top w:val="single" w:sz="8" w:space="0" w:color="auto"/>
              <w:left w:val="single" w:sz="8" w:space="0" w:color="auto"/>
              <w:bottom w:val="single" w:sz="8" w:space="0" w:color="000000"/>
              <w:right w:val="single" w:sz="8" w:space="0" w:color="auto"/>
            </w:tcBorders>
            <w:vAlign w:val="center"/>
            <w:hideMark/>
          </w:tcPr>
          <w:p w14:paraId="745BDC0E" w14:textId="77777777" w:rsidR="00CB4EBF" w:rsidRPr="001C431F" w:rsidRDefault="00CB4EBF" w:rsidP="0054762C">
            <w:pPr>
              <w:spacing w:after="0" w:line="240" w:lineRule="auto"/>
              <w:jc w:val="both"/>
              <w:rPr>
                <w:rFonts w:eastAsia="Times New Roman" w:cs="Times New Roman"/>
                <w:b/>
                <w:bCs/>
                <w:i/>
                <w:iCs/>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0315F39C" w14:textId="77777777" w:rsidR="00CB4EBF" w:rsidRPr="001C431F" w:rsidRDefault="00CB4EBF" w:rsidP="0054762C">
            <w:pPr>
              <w:spacing w:after="0" w:line="240" w:lineRule="auto"/>
              <w:jc w:val="both"/>
              <w:rPr>
                <w:rFonts w:eastAsia="Times New Roman" w:cs="Times New Roman"/>
                <w:b/>
                <w:bCs/>
                <w:i/>
                <w:iCs/>
                <w:color w:val="000000"/>
                <w:sz w:val="20"/>
                <w:szCs w:val="20"/>
              </w:rPr>
            </w:pPr>
          </w:p>
        </w:tc>
        <w:tc>
          <w:tcPr>
            <w:tcW w:w="1051" w:type="dxa"/>
            <w:tcBorders>
              <w:top w:val="nil"/>
              <w:left w:val="nil"/>
              <w:bottom w:val="single" w:sz="8" w:space="0" w:color="auto"/>
              <w:right w:val="single" w:sz="8" w:space="0" w:color="auto"/>
            </w:tcBorders>
            <w:shd w:val="clear" w:color="auto" w:fill="auto"/>
            <w:hideMark/>
          </w:tcPr>
          <w:p w14:paraId="7C2F5826" w14:textId="77777777" w:rsidR="00CB4EBF" w:rsidRPr="001C431F" w:rsidRDefault="00CB4EBF" w:rsidP="0054762C">
            <w:pPr>
              <w:spacing w:after="0" w:line="240" w:lineRule="auto"/>
              <w:jc w:val="both"/>
              <w:rPr>
                <w:rFonts w:eastAsia="Times New Roman" w:cs="Times New Roman"/>
                <w:color w:val="000000"/>
                <w:sz w:val="20"/>
                <w:szCs w:val="20"/>
              </w:rPr>
            </w:pPr>
            <w:r>
              <w:rPr>
                <w:rFonts w:eastAsia="Times New Roman" w:cs="Times New Roman"/>
                <w:color w:val="000000"/>
                <w:sz w:val="20"/>
                <w:szCs w:val="20"/>
                <w:lang w:val="hr"/>
              </w:rPr>
              <w:t> </w:t>
            </w:r>
          </w:p>
        </w:tc>
        <w:tc>
          <w:tcPr>
            <w:tcW w:w="1075" w:type="dxa"/>
            <w:vMerge/>
            <w:tcBorders>
              <w:top w:val="single" w:sz="8" w:space="0" w:color="auto"/>
              <w:left w:val="single" w:sz="8" w:space="0" w:color="auto"/>
              <w:bottom w:val="single" w:sz="8" w:space="0" w:color="000000"/>
              <w:right w:val="single" w:sz="8" w:space="0" w:color="auto"/>
            </w:tcBorders>
            <w:vAlign w:val="center"/>
            <w:hideMark/>
          </w:tcPr>
          <w:p w14:paraId="3F5597A7" w14:textId="77777777" w:rsidR="00CB4EBF" w:rsidRPr="001C431F" w:rsidRDefault="00CB4EBF" w:rsidP="0054762C">
            <w:pPr>
              <w:spacing w:after="0" w:line="240" w:lineRule="auto"/>
              <w:jc w:val="both"/>
              <w:rPr>
                <w:rFonts w:eastAsia="Times New Roman" w:cs="Times New Roman"/>
                <w:b/>
                <w:bCs/>
                <w:i/>
                <w:iCs/>
                <w:color w:val="000000"/>
                <w:sz w:val="20"/>
                <w:szCs w:val="20"/>
              </w:rPr>
            </w:pPr>
          </w:p>
        </w:tc>
        <w:tc>
          <w:tcPr>
            <w:tcW w:w="1418" w:type="dxa"/>
            <w:tcBorders>
              <w:top w:val="nil"/>
              <w:left w:val="nil"/>
              <w:bottom w:val="single" w:sz="8" w:space="0" w:color="auto"/>
              <w:right w:val="single" w:sz="8" w:space="0" w:color="auto"/>
            </w:tcBorders>
            <w:shd w:val="clear" w:color="auto" w:fill="auto"/>
            <w:hideMark/>
          </w:tcPr>
          <w:p w14:paraId="51A7B729" w14:textId="77777777" w:rsidR="00CB4EBF" w:rsidRPr="001C431F" w:rsidRDefault="00CB4EBF" w:rsidP="0054762C">
            <w:pPr>
              <w:spacing w:after="0" w:line="240" w:lineRule="auto"/>
              <w:jc w:val="both"/>
              <w:rPr>
                <w:rFonts w:eastAsia="Times New Roman" w:cs="Times New Roman"/>
                <w:color w:val="000000"/>
                <w:sz w:val="20"/>
                <w:szCs w:val="20"/>
              </w:rPr>
            </w:pPr>
            <w:r>
              <w:rPr>
                <w:rFonts w:eastAsia="Times New Roman" w:cs="Times New Roman"/>
                <w:color w:val="000000"/>
                <w:sz w:val="20"/>
                <w:szCs w:val="20"/>
                <w:lang w:val="hr"/>
              </w:rPr>
              <w:t> </w:t>
            </w:r>
          </w:p>
        </w:tc>
        <w:tc>
          <w:tcPr>
            <w:tcW w:w="1418" w:type="dxa"/>
            <w:tcBorders>
              <w:top w:val="nil"/>
              <w:left w:val="single" w:sz="8" w:space="0" w:color="auto"/>
              <w:bottom w:val="single" w:sz="8" w:space="0" w:color="000000"/>
              <w:right w:val="single" w:sz="8" w:space="0" w:color="auto"/>
            </w:tcBorders>
            <w:vAlign w:val="center"/>
            <w:hideMark/>
          </w:tcPr>
          <w:p w14:paraId="2A2A8367" w14:textId="77777777" w:rsidR="00CB4EBF" w:rsidRPr="001C431F" w:rsidRDefault="00CB4EBF" w:rsidP="0054762C">
            <w:pPr>
              <w:spacing w:after="0" w:line="240" w:lineRule="auto"/>
              <w:jc w:val="both"/>
              <w:rPr>
                <w:rFonts w:eastAsia="Times New Roman" w:cs="Times New Roman"/>
                <w:b/>
                <w:bCs/>
                <w:color w:val="000000"/>
                <w:sz w:val="20"/>
                <w:szCs w:val="20"/>
              </w:rPr>
            </w:pPr>
          </w:p>
        </w:tc>
        <w:tc>
          <w:tcPr>
            <w:tcW w:w="1417" w:type="dxa"/>
            <w:tcBorders>
              <w:top w:val="nil"/>
              <w:left w:val="nil"/>
              <w:bottom w:val="single" w:sz="8" w:space="0" w:color="auto"/>
              <w:right w:val="single" w:sz="8" w:space="0" w:color="auto"/>
            </w:tcBorders>
            <w:shd w:val="clear" w:color="auto" w:fill="auto"/>
            <w:vAlign w:val="center"/>
            <w:hideMark/>
          </w:tcPr>
          <w:p w14:paraId="3BFFC249" w14:textId="77777777" w:rsidR="00CB4EBF" w:rsidRPr="001C431F" w:rsidRDefault="00CB4EBF" w:rsidP="0054762C">
            <w:pPr>
              <w:spacing w:after="0" w:line="240" w:lineRule="auto"/>
              <w:jc w:val="both"/>
              <w:rPr>
                <w:rFonts w:eastAsia="Times New Roman" w:cs="Times New Roman"/>
                <w:b/>
                <w:bCs/>
                <w:color w:val="000000"/>
                <w:sz w:val="20"/>
                <w:szCs w:val="20"/>
              </w:rPr>
            </w:pPr>
            <w:r>
              <w:rPr>
                <w:rFonts w:eastAsia="Times New Roman" w:cs="Times New Roman"/>
                <w:b/>
                <w:bCs/>
                <w:color w:val="000000"/>
                <w:sz w:val="20"/>
                <w:szCs w:val="20"/>
                <w:lang w:val="hr"/>
              </w:rPr>
              <w:t>(a2)</w:t>
            </w:r>
          </w:p>
        </w:tc>
        <w:tc>
          <w:tcPr>
            <w:tcW w:w="1418" w:type="dxa"/>
            <w:tcBorders>
              <w:top w:val="nil"/>
              <w:left w:val="nil"/>
              <w:bottom w:val="single" w:sz="8" w:space="0" w:color="auto"/>
              <w:right w:val="single" w:sz="8" w:space="0" w:color="auto"/>
            </w:tcBorders>
            <w:shd w:val="clear" w:color="auto" w:fill="auto"/>
            <w:hideMark/>
          </w:tcPr>
          <w:p w14:paraId="5DCD4961" w14:textId="77777777" w:rsidR="00CB4EBF" w:rsidRPr="001C431F" w:rsidRDefault="00CB4EBF" w:rsidP="0054762C">
            <w:pPr>
              <w:spacing w:after="0" w:line="240" w:lineRule="auto"/>
              <w:jc w:val="both"/>
              <w:rPr>
                <w:rFonts w:eastAsia="Times New Roman" w:cs="Times New Roman"/>
                <w:color w:val="000000"/>
                <w:sz w:val="20"/>
                <w:szCs w:val="20"/>
              </w:rPr>
            </w:pPr>
            <w:r>
              <w:rPr>
                <w:rFonts w:eastAsia="Times New Roman" w:cs="Times New Roman"/>
                <w:color w:val="000000"/>
                <w:sz w:val="20"/>
                <w:szCs w:val="20"/>
                <w:lang w:val="hr"/>
              </w:rPr>
              <w:t> </w:t>
            </w:r>
          </w:p>
        </w:tc>
        <w:tc>
          <w:tcPr>
            <w:tcW w:w="1418" w:type="dxa"/>
            <w:tcBorders>
              <w:top w:val="nil"/>
              <w:left w:val="nil"/>
              <w:bottom w:val="single" w:sz="8" w:space="0" w:color="auto"/>
              <w:right w:val="single" w:sz="8" w:space="0" w:color="auto"/>
            </w:tcBorders>
            <w:shd w:val="clear" w:color="auto" w:fill="auto"/>
            <w:vAlign w:val="center"/>
            <w:hideMark/>
          </w:tcPr>
          <w:p w14:paraId="2784E66E" w14:textId="77777777" w:rsidR="00CB4EBF" w:rsidRPr="001C431F" w:rsidRDefault="00CB4EBF" w:rsidP="0054762C">
            <w:pPr>
              <w:spacing w:after="0" w:line="240" w:lineRule="auto"/>
              <w:jc w:val="both"/>
              <w:rPr>
                <w:rFonts w:eastAsia="Times New Roman" w:cs="Times New Roman"/>
                <w:i/>
                <w:iCs/>
                <w:color w:val="000000"/>
                <w:sz w:val="20"/>
                <w:szCs w:val="20"/>
              </w:rPr>
            </w:pPr>
            <w:r>
              <w:rPr>
                <w:rFonts w:eastAsia="Times New Roman" w:cs="Times New Roman"/>
                <w:i/>
                <w:iCs/>
                <w:color w:val="000000"/>
                <w:sz w:val="20"/>
                <w:szCs w:val="20"/>
                <w:lang w:val="hr"/>
              </w:rPr>
              <w:t>(c)</w:t>
            </w:r>
          </w:p>
        </w:tc>
        <w:tc>
          <w:tcPr>
            <w:tcW w:w="1275" w:type="dxa"/>
            <w:tcBorders>
              <w:top w:val="nil"/>
              <w:left w:val="nil"/>
              <w:bottom w:val="single" w:sz="8" w:space="0" w:color="auto"/>
              <w:right w:val="single" w:sz="8" w:space="0" w:color="auto"/>
            </w:tcBorders>
            <w:shd w:val="clear" w:color="auto" w:fill="auto"/>
            <w:vAlign w:val="center"/>
            <w:hideMark/>
          </w:tcPr>
          <w:p w14:paraId="3088DBC9" w14:textId="77777777" w:rsidR="00CB4EBF" w:rsidRPr="001C431F" w:rsidRDefault="00CB4EBF" w:rsidP="0054762C">
            <w:pPr>
              <w:spacing w:after="0" w:line="240" w:lineRule="auto"/>
              <w:jc w:val="both"/>
              <w:rPr>
                <w:rFonts w:eastAsia="Times New Roman" w:cs="Times New Roman"/>
                <w:i/>
                <w:iCs/>
                <w:color w:val="000000"/>
                <w:sz w:val="20"/>
                <w:szCs w:val="20"/>
              </w:rPr>
            </w:pPr>
            <w:r>
              <w:rPr>
                <w:rFonts w:eastAsia="Times New Roman" w:cs="Times New Roman"/>
                <w:i/>
                <w:iCs/>
                <w:color w:val="000000"/>
                <w:sz w:val="20"/>
                <w:szCs w:val="20"/>
                <w:lang w:val="hr"/>
              </w:rPr>
              <w:t>(d)</w:t>
            </w:r>
          </w:p>
        </w:tc>
        <w:tc>
          <w:tcPr>
            <w:tcW w:w="1418" w:type="dxa"/>
            <w:tcBorders>
              <w:top w:val="nil"/>
              <w:left w:val="nil"/>
              <w:bottom w:val="single" w:sz="8" w:space="0" w:color="auto"/>
              <w:right w:val="single" w:sz="8" w:space="0" w:color="auto"/>
            </w:tcBorders>
            <w:shd w:val="clear" w:color="auto" w:fill="auto"/>
            <w:hideMark/>
          </w:tcPr>
          <w:p w14:paraId="0D646EFC" w14:textId="77777777" w:rsidR="00CB4EBF" w:rsidRPr="001C431F" w:rsidRDefault="00CB4EBF" w:rsidP="0054762C">
            <w:pPr>
              <w:spacing w:after="0" w:line="240" w:lineRule="auto"/>
              <w:jc w:val="both"/>
              <w:rPr>
                <w:rFonts w:eastAsia="Times New Roman" w:cs="Times New Roman"/>
                <w:color w:val="000000"/>
                <w:sz w:val="20"/>
                <w:szCs w:val="20"/>
              </w:rPr>
            </w:pPr>
            <w:r>
              <w:rPr>
                <w:rFonts w:eastAsia="Times New Roman" w:cs="Times New Roman"/>
                <w:color w:val="000000"/>
                <w:sz w:val="20"/>
                <w:szCs w:val="20"/>
                <w:lang w:val="hr"/>
              </w:rPr>
              <w:t> </w:t>
            </w:r>
          </w:p>
        </w:tc>
        <w:tc>
          <w:tcPr>
            <w:tcW w:w="708" w:type="dxa"/>
            <w:tcBorders>
              <w:top w:val="nil"/>
              <w:left w:val="nil"/>
              <w:bottom w:val="single" w:sz="8" w:space="0" w:color="auto"/>
              <w:right w:val="single" w:sz="8" w:space="0" w:color="auto"/>
            </w:tcBorders>
            <w:shd w:val="clear" w:color="auto" w:fill="auto"/>
            <w:hideMark/>
          </w:tcPr>
          <w:p w14:paraId="61027F87" w14:textId="77777777" w:rsidR="00CB4EBF" w:rsidRPr="001C431F" w:rsidRDefault="00CB4EBF" w:rsidP="0054762C">
            <w:pPr>
              <w:spacing w:after="0" w:line="240" w:lineRule="auto"/>
              <w:jc w:val="both"/>
              <w:rPr>
                <w:rFonts w:eastAsia="Times New Roman" w:cs="Times New Roman"/>
                <w:color w:val="000000"/>
                <w:sz w:val="20"/>
                <w:szCs w:val="20"/>
              </w:rPr>
            </w:pPr>
            <w:r>
              <w:rPr>
                <w:rFonts w:eastAsia="Times New Roman" w:cs="Times New Roman"/>
                <w:color w:val="000000"/>
                <w:sz w:val="20"/>
                <w:szCs w:val="20"/>
                <w:lang w:val="hr"/>
              </w:rPr>
              <w:t> </w:t>
            </w:r>
          </w:p>
        </w:tc>
        <w:tc>
          <w:tcPr>
            <w:tcW w:w="850" w:type="dxa"/>
            <w:tcBorders>
              <w:top w:val="nil"/>
              <w:left w:val="nil"/>
              <w:bottom w:val="single" w:sz="8" w:space="0" w:color="auto"/>
              <w:right w:val="single" w:sz="8" w:space="0" w:color="auto"/>
            </w:tcBorders>
            <w:shd w:val="clear" w:color="auto" w:fill="auto"/>
            <w:hideMark/>
          </w:tcPr>
          <w:p w14:paraId="37E350E9" w14:textId="77777777" w:rsidR="00CB4EBF" w:rsidRPr="001C431F" w:rsidRDefault="00CB4EBF" w:rsidP="0054762C">
            <w:pPr>
              <w:spacing w:after="0" w:line="240" w:lineRule="auto"/>
              <w:jc w:val="both"/>
              <w:rPr>
                <w:rFonts w:eastAsia="Times New Roman" w:cs="Times New Roman"/>
                <w:color w:val="000000"/>
                <w:sz w:val="20"/>
                <w:szCs w:val="20"/>
              </w:rPr>
            </w:pPr>
            <w:r>
              <w:rPr>
                <w:rFonts w:eastAsia="Times New Roman" w:cs="Times New Roman"/>
                <w:color w:val="000000"/>
                <w:sz w:val="20"/>
                <w:szCs w:val="20"/>
                <w:lang w:val="hr"/>
              </w:rPr>
              <w:t> </w:t>
            </w:r>
          </w:p>
        </w:tc>
      </w:tr>
      <w:tr w:rsidR="00CB4EBF" w:rsidRPr="00A23750" w14:paraId="1FF21AE3" w14:textId="77777777" w:rsidTr="0054762C">
        <w:trPr>
          <w:trHeight w:val="916"/>
        </w:trPr>
        <w:tc>
          <w:tcPr>
            <w:tcW w:w="983" w:type="dxa"/>
            <w:tcBorders>
              <w:top w:val="nil"/>
              <w:left w:val="single" w:sz="8" w:space="0" w:color="auto"/>
              <w:bottom w:val="nil"/>
              <w:right w:val="single" w:sz="8" w:space="0" w:color="auto"/>
            </w:tcBorders>
            <w:shd w:val="clear" w:color="auto" w:fill="auto"/>
            <w:vAlign w:val="center"/>
          </w:tcPr>
          <w:p w14:paraId="72F96ECC" w14:textId="77777777" w:rsidR="00CB4EBF" w:rsidRPr="001C431F" w:rsidRDefault="00CB4EBF" w:rsidP="0054762C">
            <w:pPr>
              <w:spacing w:after="0" w:line="240" w:lineRule="auto"/>
              <w:jc w:val="both"/>
              <w:rPr>
                <w:rFonts w:cs="Times New Roman"/>
                <w:i/>
                <w:color w:val="000000"/>
                <w:sz w:val="20"/>
                <w:szCs w:val="20"/>
              </w:rPr>
            </w:pPr>
            <w:r>
              <w:rPr>
                <w:rFonts w:cs="Times New Roman"/>
                <w:i/>
                <w:iCs/>
                <w:color w:val="000000"/>
                <w:sz w:val="20"/>
                <w:szCs w:val="20"/>
                <w:lang w:val="hr"/>
              </w:rPr>
              <w:t>PO1</w:t>
            </w:r>
          </w:p>
        </w:tc>
        <w:tc>
          <w:tcPr>
            <w:tcW w:w="992" w:type="dxa"/>
            <w:tcBorders>
              <w:top w:val="nil"/>
              <w:left w:val="nil"/>
              <w:bottom w:val="nil"/>
              <w:right w:val="single" w:sz="8" w:space="0" w:color="auto"/>
            </w:tcBorders>
            <w:shd w:val="clear" w:color="auto" w:fill="auto"/>
            <w:vAlign w:val="center"/>
            <w:hideMark/>
          </w:tcPr>
          <w:p w14:paraId="661C86BC" w14:textId="77777777" w:rsidR="00CB4EBF" w:rsidRPr="001C431F" w:rsidRDefault="00CB4EBF" w:rsidP="0054762C">
            <w:pPr>
              <w:spacing w:after="0" w:line="240" w:lineRule="auto"/>
              <w:jc w:val="both"/>
              <w:rPr>
                <w:rFonts w:cs="Times New Roman"/>
                <w:b/>
                <w:i/>
                <w:color w:val="000000"/>
                <w:sz w:val="20"/>
                <w:szCs w:val="20"/>
              </w:rPr>
            </w:pPr>
            <w:r>
              <w:rPr>
                <w:rFonts w:cs="Times New Roman"/>
                <w:b/>
                <w:bCs/>
                <w:i/>
                <w:iCs/>
                <w:color w:val="000000"/>
                <w:sz w:val="20"/>
                <w:szCs w:val="20"/>
                <w:lang w:val="hr"/>
              </w:rPr>
              <w:t>Prioritet 1. Konkurentna pogranična regija</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14:paraId="6F69D999" w14:textId="77777777" w:rsidR="00CB4EBF" w:rsidRPr="001C431F" w:rsidRDefault="00CB4EBF" w:rsidP="0054762C">
            <w:pPr>
              <w:spacing w:after="0" w:line="240" w:lineRule="auto"/>
              <w:jc w:val="both"/>
              <w:rPr>
                <w:rFonts w:cs="Times New Roman"/>
                <w:i/>
                <w:color w:val="000000"/>
                <w:sz w:val="20"/>
                <w:szCs w:val="20"/>
              </w:rPr>
            </w:pPr>
            <w:proofErr w:type="spellStart"/>
            <w:r>
              <w:rPr>
                <w:rFonts w:eastAsia="Times New Roman" w:cs="Times New Roman"/>
                <w:i/>
                <w:iCs/>
                <w:color w:val="000000"/>
                <w:sz w:val="20"/>
                <w:szCs w:val="20"/>
                <w:lang w:val="hr"/>
              </w:rPr>
              <w:t>EFRR</w:t>
            </w:r>
            <w:proofErr w:type="spellEnd"/>
          </w:p>
        </w:tc>
        <w:tc>
          <w:tcPr>
            <w:tcW w:w="1075" w:type="dxa"/>
            <w:vMerge w:val="restart"/>
            <w:tcBorders>
              <w:top w:val="nil"/>
              <w:left w:val="single" w:sz="8" w:space="0" w:color="auto"/>
              <w:bottom w:val="single" w:sz="8" w:space="0" w:color="000000"/>
              <w:right w:val="single" w:sz="8" w:space="0" w:color="auto"/>
            </w:tcBorders>
            <w:shd w:val="clear" w:color="auto" w:fill="auto"/>
            <w:vAlign w:val="center"/>
            <w:hideMark/>
          </w:tcPr>
          <w:p w14:paraId="4ACDB3B9" w14:textId="77777777" w:rsidR="00CB4EBF" w:rsidRPr="001C431F" w:rsidRDefault="00CB4EBF" w:rsidP="0054762C">
            <w:pPr>
              <w:spacing w:after="0" w:line="240" w:lineRule="auto"/>
              <w:jc w:val="both"/>
              <w:rPr>
                <w:rFonts w:cs="Times New Roman"/>
                <w:i/>
                <w:color w:val="000000"/>
                <w:sz w:val="20"/>
                <w:szCs w:val="20"/>
              </w:rPr>
            </w:pPr>
            <w:r>
              <w:rPr>
                <w:rFonts w:eastAsia="Times New Roman" w:cs="Times New Roman"/>
                <w:i/>
                <w:iCs/>
                <w:color w:val="000000"/>
                <w:sz w:val="20"/>
                <w:szCs w:val="20"/>
                <w:lang w:val="hr"/>
              </w:rPr>
              <w:t>Ukupni prihvatljivi troškovi</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14:paraId="5074A4D6" w14:textId="77777777" w:rsidR="00CB4EBF" w:rsidRPr="00B723CC" w:rsidRDefault="00CB4EBF" w:rsidP="0054762C">
            <w:pPr>
              <w:spacing w:after="0" w:line="240" w:lineRule="auto"/>
              <w:jc w:val="both"/>
              <w:rPr>
                <w:rFonts w:cs="Times New Roman"/>
                <w:i/>
                <w:color w:val="000000"/>
                <w:sz w:val="20"/>
                <w:szCs w:val="20"/>
                <w:highlight w:val="lightGray"/>
              </w:rPr>
            </w:pPr>
            <w:r>
              <w:rPr>
                <w:rFonts w:cs="Times New Roman"/>
                <w:color w:val="000000"/>
                <w:sz w:val="20"/>
                <w:szCs w:val="20"/>
                <w:lang w:val="hr"/>
              </w:rPr>
              <w:t>11 556 000,00</w:t>
            </w:r>
          </w:p>
        </w:tc>
        <w:tc>
          <w:tcPr>
            <w:tcW w:w="1418" w:type="dxa"/>
            <w:vMerge w:val="restart"/>
            <w:tcBorders>
              <w:top w:val="nil"/>
              <w:left w:val="single" w:sz="8" w:space="0" w:color="auto"/>
              <w:bottom w:val="single" w:sz="8" w:space="0" w:color="000000"/>
              <w:right w:val="single" w:sz="8" w:space="0" w:color="auto"/>
            </w:tcBorders>
            <w:shd w:val="clear" w:color="000000" w:fill="FFFFFF"/>
            <w:vAlign w:val="center"/>
          </w:tcPr>
          <w:p w14:paraId="25E47D69" w14:textId="77777777" w:rsidR="00CB4EBF" w:rsidRPr="001C431F" w:rsidRDefault="00CB4EBF" w:rsidP="0054762C">
            <w:pPr>
              <w:spacing w:after="0" w:line="240" w:lineRule="auto"/>
              <w:jc w:val="both"/>
              <w:rPr>
                <w:rFonts w:cs="Times New Roman"/>
                <w:i/>
                <w:color w:val="000000"/>
                <w:sz w:val="20"/>
                <w:szCs w:val="20"/>
              </w:rPr>
            </w:pPr>
            <w:r>
              <w:rPr>
                <w:rFonts w:cs="Times New Roman"/>
                <w:color w:val="000000"/>
                <w:sz w:val="20"/>
                <w:szCs w:val="20"/>
                <w:lang w:val="hr"/>
              </w:rPr>
              <w:t>10 800 000,00</w:t>
            </w:r>
          </w:p>
        </w:tc>
        <w:tc>
          <w:tcPr>
            <w:tcW w:w="1417" w:type="dxa"/>
            <w:vMerge w:val="restart"/>
            <w:tcBorders>
              <w:top w:val="nil"/>
              <w:left w:val="single" w:sz="8" w:space="0" w:color="auto"/>
              <w:bottom w:val="single" w:sz="8" w:space="0" w:color="000000"/>
              <w:right w:val="single" w:sz="8" w:space="0" w:color="auto"/>
            </w:tcBorders>
            <w:shd w:val="clear" w:color="000000" w:fill="FFFFFF"/>
            <w:vAlign w:val="center"/>
          </w:tcPr>
          <w:p w14:paraId="49ABEC8D" w14:textId="77777777" w:rsidR="00CB4EBF" w:rsidRPr="001C431F" w:rsidRDefault="00CB4EBF" w:rsidP="0054762C">
            <w:pPr>
              <w:spacing w:after="0" w:line="240" w:lineRule="auto"/>
              <w:jc w:val="both"/>
              <w:rPr>
                <w:rFonts w:cs="Times New Roman"/>
                <w:i/>
                <w:color w:val="000000"/>
                <w:sz w:val="20"/>
                <w:szCs w:val="20"/>
              </w:rPr>
            </w:pPr>
            <w:r>
              <w:rPr>
                <w:rFonts w:cs="Times New Roman"/>
                <w:color w:val="000000"/>
                <w:sz w:val="20"/>
                <w:szCs w:val="20"/>
                <w:lang w:val="hr"/>
              </w:rPr>
              <w:t>756 000,00</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14:paraId="639EBB08" w14:textId="77777777" w:rsidR="00CB4EBF" w:rsidRPr="001C431F" w:rsidRDefault="00CB4EBF" w:rsidP="0054762C">
            <w:pPr>
              <w:spacing w:after="0" w:line="240" w:lineRule="auto"/>
              <w:jc w:val="both"/>
              <w:rPr>
                <w:rFonts w:cs="Times New Roman"/>
                <w:i/>
                <w:color w:val="000000"/>
                <w:sz w:val="20"/>
                <w:szCs w:val="20"/>
              </w:rPr>
            </w:pPr>
            <w:r>
              <w:rPr>
                <w:rFonts w:cs="Times New Roman"/>
                <w:color w:val="000000"/>
                <w:sz w:val="20"/>
                <w:szCs w:val="20"/>
                <w:lang w:val="hr"/>
              </w:rPr>
              <w:t>2 889 000,00</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14:paraId="5B7A0BA1" w14:textId="77777777" w:rsidR="00CB4EBF" w:rsidRPr="001C431F" w:rsidRDefault="00CB4EBF" w:rsidP="0054762C">
            <w:pPr>
              <w:spacing w:after="0" w:line="240" w:lineRule="auto"/>
              <w:jc w:val="both"/>
              <w:rPr>
                <w:rFonts w:cs="Times New Roman"/>
                <w:i/>
                <w:color w:val="000000"/>
                <w:sz w:val="20"/>
                <w:szCs w:val="20"/>
              </w:rPr>
            </w:pPr>
            <w:r>
              <w:rPr>
                <w:rFonts w:cs="Times New Roman"/>
                <w:color w:val="000000"/>
                <w:sz w:val="20"/>
                <w:szCs w:val="20"/>
                <w:lang w:val="hr"/>
              </w:rPr>
              <w:t>2 600 100,00</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tcPr>
          <w:p w14:paraId="741D04A3" w14:textId="77777777" w:rsidR="00CB4EBF" w:rsidRPr="001C431F" w:rsidRDefault="00CB4EBF" w:rsidP="0054762C">
            <w:pPr>
              <w:spacing w:after="0" w:line="240" w:lineRule="auto"/>
              <w:jc w:val="both"/>
              <w:rPr>
                <w:rFonts w:cs="Times New Roman"/>
                <w:i/>
                <w:color w:val="000000"/>
                <w:sz w:val="20"/>
                <w:szCs w:val="20"/>
              </w:rPr>
            </w:pPr>
            <w:r>
              <w:rPr>
                <w:rFonts w:cs="Times New Roman"/>
                <w:color w:val="000000"/>
                <w:sz w:val="20"/>
                <w:szCs w:val="20"/>
                <w:lang w:val="hr"/>
              </w:rPr>
              <w:t>288 900,00</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14:paraId="1847E9A9" w14:textId="77777777" w:rsidR="00CB4EBF" w:rsidRPr="001C431F" w:rsidRDefault="00CB4EBF" w:rsidP="0054762C">
            <w:pPr>
              <w:spacing w:after="0" w:line="240" w:lineRule="auto"/>
              <w:jc w:val="both"/>
              <w:rPr>
                <w:rFonts w:cs="Times New Roman"/>
                <w:i/>
                <w:color w:val="000000"/>
                <w:sz w:val="20"/>
                <w:szCs w:val="20"/>
              </w:rPr>
            </w:pPr>
            <w:r>
              <w:rPr>
                <w:rFonts w:cs="Times New Roman"/>
                <w:color w:val="000000"/>
                <w:sz w:val="20"/>
                <w:szCs w:val="20"/>
                <w:lang w:val="hr"/>
              </w:rPr>
              <w:t>14 445 000,00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19DBC965" w14:textId="77777777" w:rsidR="00CB4EBF" w:rsidRPr="001C431F" w:rsidRDefault="00CB4EBF" w:rsidP="0054762C">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lang w:val="hr"/>
              </w:rPr>
              <w:t>80 %</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tcPr>
          <w:p w14:paraId="1FC9E8BB" w14:textId="77777777" w:rsidR="00CB4EBF" w:rsidRPr="001C431F" w:rsidRDefault="00CB4EBF" w:rsidP="0054762C">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lang w:val="hr"/>
              </w:rPr>
              <w:t>N.r.</w:t>
            </w:r>
          </w:p>
        </w:tc>
      </w:tr>
      <w:tr w:rsidR="00CB4EBF" w:rsidRPr="00A23750" w14:paraId="53B52862" w14:textId="77777777" w:rsidTr="0054762C">
        <w:trPr>
          <w:trHeight w:val="930"/>
        </w:trPr>
        <w:tc>
          <w:tcPr>
            <w:tcW w:w="983" w:type="dxa"/>
            <w:tcBorders>
              <w:top w:val="nil"/>
              <w:left w:val="single" w:sz="8" w:space="0" w:color="auto"/>
              <w:bottom w:val="nil"/>
              <w:right w:val="single" w:sz="8" w:space="0" w:color="auto"/>
            </w:tcBorders>
            <w:shd w:val="clear" w:color="auto" w:fill="auto"/>
            <w:vAlign w:val="center"/>
          </w:tcPr>
          <w:p w14:paraId="25FE3ED9" w14:textId="77777777" w:rsidR="00CB4EBF" w:rsidRPr="001C431F" w:rsidRDefault="00CB4EBF" w:rsidP="0054762C">
            <w:pPr>
              <w:spacing w:after="0" w:line="240" w:lineRule="auto"/>
              <w:jc w:val="both"/>
              <w:rPr>
                <w:rFonts w:cs="Times New Roman"/>
                <w:i/>
                <w:color w:val="000000"/>
                <w:sz w:val="20"/>
                <w:szCs w:val="20"/>
              </w:rPr>
            </w:pPr>
          </w:p>
        </w:tc>
        <w:tc>
          <w:tcPr>
            <w:tcW w:w="992" w:type="dxa"/>
            <w:tcBorders>
              <w:top w:val="nil"/>
              <w:left w:val="nil"/>
              <w:bottom w:val="nil"/>
              <w:right w:val="single" w:sz="8" w:space="0" w:color="auto"/>
            </w:tcBorders>
            <w:shd w:val="clear" w:color="auto" w:fill="auto"/>
            <w:vAlign w:val="center"/>
            <w:hideMark/>
          </w:tcPr>
          <w:p w14:paraId="25BDD025" w14:textId="77777777" w:rsidR="00CB4EBF" w:rsidRPr="001C431F" w:rsidRDefault="00CB4EBF" w:rsidP="0054762C">
            <w:pPr>
              <w:spacing w:after="0" w:line="240" w:lineRule="auto"/>
              <w:jc w:val="both"/>
              <w:rPr>
                <w:rFonts w:cs="Times New Roman"/>
                <w:i/>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hideMark/>
          </w:tcPr>
          <w:p w14:paraId="7DE6CF97" w14:textId="77777777" w:rsidR="00CB4EBF" w:rsidRPr="001C431F" w:rsidRDefault="00CB4EBF" w:rsidP="0054762C">
            <w:pPr>
              <w:spacing w:after="0" w:line="240" w:lineRule="auto"/>
              <w:jc w:val="both"/>
              <w:rPr>
                <w:rFonts w:cs="Times New Roman"/>
                <w:i/>
                <w:color w:val="000000"/>
                <w:sz w:val="20"/>
                <w:szCs w:val="20"/>
              </w:rPr>
            </w:pPr>
          </w:p>
        </w:tc>
        <w:tc>
          <w:tcPr>
            <w:tcW w:w="1075" w:type="dxa"/>
            <w:vMerge/>
            <w:tcBorders>
              <w:top w:val="nil"/>
              <w:left w:val="single" w:sz="8" w:space="0" w:color="auto"/>
              <w:bottom w:val="single" w:sz="8" w:space="0" w:color="000000"/>
              <w:right w:val="single" w:sz="8" w:space="0" w:color="auto"/>
            </w:tcBorders>
            <w:vAlign w:val="center"/>
            <w:hideMark/>
          </w:tcPr>
          <w:p w14:paraId="1AB6BDE2" w14:textId="77777777" w:rsidR="00CB4EBF" w:rsidRPr="001C431F" w:rsidRDefault="00CB4EBF" w:rsidP="0054762C">
            <w:pPr>
              <w:spacing w:after="0" w:line="240" w:lineRule="auto"/>
              <w:jc w:val="both"/>
              <w:rPr>
                <w:rFonts w:cs="Times New Roman"/>
                <w:i/>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tcPr>
          <w:p w14:paraId="6F9F3B79" w14:textId="77777777" w:rsidR="00CB4EBF" w:rsidRPr="001C431F" w:rsidRDefault="00CB4EBF" w:rsidP="0054762C">
            <w:pPr>
              <w:spacing w:after="0" w:line="240" w:lineRule="auto"/>
              <w:jc w:val="both"/>
              <w:rPr>
                <w:rFonts w:cs="Times New Roman"/>
                <w:i/>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tcPr>
          <w:p w14:paraId="4AB98FE3" w14:textId="77777777" w:rsidR="00CB4EBF" w:rsidRPr="001C431F" w:rsidRDefault="00CB4EBF" w:rsidP="0054762C">
            <w:pPr>
              <w:spacing w:after="0" w:line="240" w:lineRule="auto"/>
              <w:jc w:val="both"/>
              <w:rPr>
                <w:rFonts w:cs="Times New Roman"/>
                <w:i/>
                <w:color w:val="000000"/>
                <w:sz w:val="20"/>
                <w:szCs w:val="20"/>
              </w:rPr>
            </w:pPr>
          </w:p>
        </w:tc>
        <w:tc>
          <w:tcPr>
            <w:tcW w:w="1417" w:type="dxa"/>
            <w:vMerge/>
            <w:tcBorders>
              <w:top w:val="nil"/>
              <w:left w:val="single" w:sz="8" w:space="0" w:color="auto"/>
              <w:bottom w:val="single" w:sz="8" w:space="0" w:color="000000"/>
              <w:right w:val="single" w:sz="8" w:space="0" w:color="auto"/>
            </w:tcBorders>
            <w:vAlign w:val="center"/>
          </w:tcPr>
          <w:p w14:paraId="4BD1C5EA" w14:textId="77777777" w:rsidR="00CB4EBF" w:rsidRPr="001C431F" w:rsidRDefault="00CB4EBF" w:rsidP="0054762C">
            <w:pPr>
              <w:spacing w:after="0" w:line="240" w:lineRule="auto"/>
              <w:jc w:val="both"/>
              <w:rPr>
                <w:rFonts w:cs="Times New Roman"/>
                <w:i/>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tcPr>
          <w:p w14:paraId="49A282AA" w14:textId="77777777" w:rsidR="00CB4EBF" w:rsidRPr="001C431F" w:rsidRDefault="00CB4EBF" w:rsidP="0054762C">
            <w:pPr>
              <w:spacing w:after="0" w:line="240" w:lineRule="auto"/>
              <w:jc w:val="both"/>
              <w:rPr>
                <w:rFonts w:cs="Times New Roman"/>
                <w:i/>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tcPr>
          <w:p w14:paraId="7A7B99BB" w14:textId="77777777" w:rsidR="00CB4EBF" w:rsidRPr="001C431F" w:rsidRDefault="00CB4EBF" w:rsidP="0054762C">
            <w:pPr>
              <w:spacing w:after="0" w:line="240" w:lineRule="auto"/>
              <w:jc w:val="both"/>
              <w:rPr>
                <w:rFonts w:cs="Times New Roman"/>
                <w:i/>
                <w:color w:val="000000"/>
                <w:sz w:val="20"/>
                <w:szCs w:val="20"/>
              </w:rPr>
            </w:pPr>
          </w:p>
        </w:tc>
        <w:tc>
          <w:tcPr>
            <w:tcW w:w="1275" w:type="dxa"/>
            <w:vMerge/>
            <w:tcBorders>
              <w:top w:val="nil"/>
              <w:left w:val="single" w:sz="8" w:space="0" w:color="auto"/>
              <w:bottom w:val="single" w:sz="8" w:space="0" w:color="000000"/>
              <w:right w:val="single" w:sz="8" w:space="0" w:color="auto"/>
            </w:tcBorders>
            <w:vAlign w:val="center"/>
          </w:tcPr>
          <w:p w14:paraId="72C5A34D" w14:textId="77777777" w:rsidR="00CB4EBF" w:rsidRPr="001C431F" w:rsidRDefault="00CB4EBF" w:rsidP="0054762C">
            <w:pPr>
              <w:spacing w:after="0" w:line="240" w:lineRule="auto"/>
              <w:jc w:val="both"/>
              <w:rPr>
                <w:rFonts w:cs="Times New Roman"/>
                <w:i/>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tcPr>
          <w:p w14:paraId="2316B14B" w14:textId="77777777" w:rsidR="00CB4EBF" w:rsidRPr="001C431F" w:rsidRDefault="00CB4EBF" w:rsidP="0054762C">
            <w:pPr>
              <w:spacing w:after="0" w:line="240" w:lineRule="auto"/>
              <w:jc w:val="both"/>
              <w:rPr>
                <w:rFonts w:cs="Times New Roman"/>
                <w:i/>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tcPr>
          <w:p w14:paraId="389C4883" w14:textId="77777777" w:rsidR="00CB4EBF" w:rsidRPr="001C431F" w:rsidRDefault="00CB4EBF" w:rsidP="0054762C">
            <w:pPr>
              <w:spacing w:after="0" w:line="240" w:lineRule="auto"/>
              <w:jc w:val="center"/>
              <w:rPr>
                <w:rFonts w:eastAsia="Times New Roman" w:cs="Times New Roman"/>
                <w:i/>
                <w:iCs/>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tcPr>
          <w:p w14:paraId="5E96A141" w14:textId="77777777" w:rsidR="00CB4EBF" w:rsidRPr="001C431F" w:rsidRDefault="00CB4EBF" w:rsidP="0054762C">
            <w:pPr>
              <w:spacing w:after="0" w:line="240" w:lineRule="auto"/>
              <w:jc w:val="center"/>
              <w:rPr>
                <w:rFonts w:eastAsia="Times New Roman" w:cs="Times New Roman"/>
                <w:i/>
                <w:iCs/>
                <w:color w:val="000000"/>
                <w:sz w:val="20"/>
                <w:szCs w:val="20"/>
              </w:rPr>
            </w:pPr>
          </w:p>
        </w:tc>
      </w:tr>
      <w:tr w:rsidR="00CB4EBF" w:rsidRPr="00A23750" w14:paraId="55EBBC67" w14:textId="77777777" w:rsidTr="0054762C">
        <w:trPr>
          <w:trHeight w:val="40"/>
        </w:trPr>
        <w:tc>
          <w:tcPr>
            <w:tcW w:w="983" w:type="dxa"/>
            <w:tcBorders>
              <w:top w:val="nil"/>
              <w:left w:val="single" w:sz="8" w:space="0" w:color="auto"/>
              <w:bottom w:val="single" w:sz="8" w:space="0" w:color="auto"/>
              <w:right w:val="single" w:sz="8" w:space="0" w:color="auto"/>
            </w:tcBorders>
            <w:shd w:val="clear" w:color="auto" w:fill="auto"/>
            <w:vAlign w:val="center"/>
          </w:tcPr>
          <w:p w14:paraId="67DB1569" w14:textId="77777777" w:rsidR="00CB4EBF" w:rsidRPr="001C431F" w:rsidRDefault="00CB4EBF" w:rsidP="0054762C">
            <w:pPr>
              <w:spacing w:after="0" w:line="240" w:lineRule="auto"/>
              <w:jc w:val="both"/>
              <w:rPr>
                <w:rFonts w:cs="Times New Roman"/>
                <w:i/>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5AD146DE" w14:textId="77777777" w:rsidR="00CB4EBF" w:rsidRPr="001C431F" w:rsidRDefault="00CB4EBF" w:rsidP="0054762C">
            <w:pPr>
              <w:spacing w:after="0" w:line="240" w:lineRule="auto"/>
              <w:jc w:val="both"/>
              <w:rPr>
                <w:rFonts w:cs="Times New Roman"/>
                <w:color w:val="000000"/>
                <w:sz w:val="20"/>
                <w:szCs w:val="20"/>
              </w:rPr>
            </w:pPr>
            <w:r>
              <w:rPr>
                <w:rFonts w:eastAsia="Times New Roman" w:cs="Times New Roman"/>
                <w:color w:val="000000"/>
                <w:sz w:val="20"/>
                <w:szCs w:val="20"/>
                <w:lang w:val="hr"/>
              </w:rPr>
              <w:t> </w:t>
            </w:r>
          </w:p>
        </w:tc>
        <w:tc>
          <w:tcPr>
            <w:tcW w:w="1051" w:type="dxa"/>
            <w:vMerge/>
            <w:tcBorders>
              <w:top w:val="nil"/>
              <w:left w:val="single" w:sz="8" w:space="0" w:color="auto"/>
              <w:bottom w:val="single" w:sz="8" w:space="0" w:color="000000"/>
              <w:right w:val="single" w:sz="8" w:space="0" w:color="auto"/>
            </w:tcBorders>
            <w:vAlign w:val="center"/>
            <w:hideMark/>
          </w:tcPr>
          <w:p w14:paraId="299897CE" w14:textId="77777777" w:rsidR="00CB4EBF" w:rsidRPr="001C431F" w:rsidRDefault="00CB4EBF" w:rsidP="0054762C">
            <w:pPr>
              <w:spacing w:after="0" w:line="240" w:lineRule="auto"/>
              <w:jc w:val="both"/>
              <w:rPr>
                <w:rFonts w:cs="Times New Roman"/>
                <w:i/>
                <w:color w:val="000000"/>
                <w:sz w:val="20"/>
                <w:szCs w:val="20"/>
              </w:rPr>
            </w:pPr>
          </w:p>
        </w:tc>
        <w:tc>
          <w:tcPr>
            <w:tcW w:w="1075" w:type="dxa"/>
            <w:vMerge/>
            <w:tcBorders>
              <w:top w:val="nil"/>
              <w:left w:val="single" w:sz="8" w:space="0" w:color="auto"/>
              <w:bottom w:val="single" w:sz="8" w:space="0" w:color="000000"/>
              <w:right w:val="single" w:sz="8" w:space="0" w:color="auto"/>
            </w:tcBorders>
            <w:vAlign w:val="center"/>
            <w:hideMark/>
          </w:tcPr>
          <w:p w14:paraId="5E04758D" w14:textId="77777777" w:rsidR="00CB4EBF" w:rsidRPr="001C431F" w:rsidRDefault="00CB4EBF" w:rsidP="0054762C">
            <w:pPr>
              <w:spacing w:after="0" w:line="240" w:lineRule="auto"/>
              <w:jc w:val="both"/>
              <w:rPr>
                <w:rFonts w:cs="Times New Roman"/>
                <w:i/>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tcPr>
          <w:p w14:paraId="6C1E9982" w14:textId="77777777" w:rsidR="00CB4EBF" w:rsidRPr="001C431F" w:rsidRDefault="00CB4EBF" w:rsidP="0054762C">
            <w:pPr>
              <w:spacing w:after="0" w:line="240" w:lineRule="auto"/>
              <w:jc w:val="both"/>
              <w:rPr>
                <w:rFonts w:cs="Times New Roman"/>
                <w:i/>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tcPr>
          <w:p w14:paraId="6CF3F0A8" w14:textId="77777777" w:rsidR="00CB4EBF" w:rsidRPr="001C431F" w:rsidRDefault="00CB4EBF" w:rsidP="0054762C">
            <w:pPr>
              <w:spacing w:after="0" w:line="240" w:lineRule="auto"/>
              <w:jc w:val="both"/>
              <w:rPr>
                <w:rFonts w:cs="Times New Roman"/>
                <w:i/>
                <w:color w:val="000000"/>
                <w:sz w:val="20"/>
                <w:szCs w:val="20"/>
              </w:rPr>
            </w:pPr>
          </w:p>
        </w:tc>
        <w:tc>
          <w:tcPr>
            <w:tcW w:w="1417" w:type="dxa"/>
            <w:vMerge/>
            <w:tcBorders>
              <w:top w:val="nil"/>
              <w:left w:val="single" w:sz="8" w:space="0" w:color="auto"/>
              <w:bottom w:val="single" w:sz="8" w:space="0" w:color="000000"/>
              <w:right w:val="single" w:sz="8" w:space="0" w:color="auto"/>
            </w:tcBorders>
            <w:vAlign w:val="center"/>
          </w:tcPr>
          <w:p w14:paraId="6564548A" w14:textId="77777777" w:rsidR="00CB4EBF" w:rsidRPr="001C431F" w:rsidRDefault="00CB4EBF" w:rsidP="0054762C">
            <w:pPr>
              <w:spacing w:after="0" w:line="240" w:lineRule="auto"/>
              <w:jc w:val="both"/>
              <w:rPr>
                <w:rFonts w:cs="Times New Roman"/>
                <w:i/>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tcPr>
          <w:p w14:paraId="550C278B" w14:textId="77777777" w:rsidR="00CB4EBF" w:rsidRPr="001C431F" w:rsidRDefault="00CB4EBF" w:rsidP="0054762C">
            <w:pPr>
              <w:spacing w:after="0" w:line="240" w:lineRule="auto"/>
              <w:jc w:val="both"/>
              <w:rPr>
                <w:rFonts w:cs="Times New Roman"/>
                <w:i/>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tcPr>
          <w:p w14:paraId="4E55F189" w14:textId="77777777" w:rsidR="00CB4EBF" w:rsidRPr="001C431F" w:rsidRDefault="00CB4EBF" w:rsidP="0054762C">
            <w:pPr>
              <w:spacing w:after="0" w:line="240" w:lineRule="auto"/>
              <w:jc w:val="both"/>
              <w:rPr>
                <w:rFonts w:cs="Times New Roman"/>
                <w:i/>
                <w:color w:val="000000"/>
                <w:sz w:val="20"/>
                <w:szCs w:val="20"/>
              </w:rPr>
            </w:pPr>
          </w:p>
        </w:tc>
        <w:tc>
          <w:tcPr>
            <w:tcW w:w="1275" w:type="dxa"/>
            <w:vMerge/>
            <w:tcBorders>
              <w:top w:val="nil"/>
              <w:left w:val="single" w:sz="8" w:space="0" w:color="auto"/>
              <w:bottom w:val="single" w:sz="8" w:space="0" w:color="000000"/>
              <w:right w:val="single" w:sz="8" w:space="0" w:color="auto"/>
            </w:tcBorders>
            <w:vAlign w:val="center"/>
          </w:tcPr>
          <w:p w14:paraId="52200024" w14:textId="77777777" w:rsidR="00CB4EBF" w:rsidRPr="001C431F" w:rsidRDefault="00CB4EBF" w:rsidP="0054762C">
            <w:pPr>
              <w:spacing w:after="0" w:line="240" w:lineRule="auto"/>
              <w:jc w:val="both"/>
              <w:rPr>
                <w:rFonts w:cs="Times New Roman"/>
                <w:i/>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tcPr>
          <w:p w14:paraId="30B24A15" w14:textId="77777777" w:rsidR="00CB4EBF" w:rsidRPr="001C431F" w:rsidRDefault="00CB4EBF" w:rsidP="0054762C">
            <w:pPr>
              <w:spacing w:after="0" w:line="240" w:lineRule="auto"/>
              <w:jc w:val="both"/>
              <w:rPr>
                <w:rFonts w:cs="Times New Roman"/>
                <w:i/>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tcPr>
          <w:p w14:paraId="42D0DBC6" w14:textId="77777777" w:rsidR="00CB4EBF" w:rsidRPr="001C431F" w:rsidRDefault="00CB4EBF" w:rsidP="0054762C">
            <w:pPr>
              <w:spacing w:after="0" w:line="240" w:lineRule="auto"/>
              <w:jc w:val="center"/>
              <w:rPr>
                <w:rFonts w:eastAsia="Times New Roman" w:cs="Times New Roman"/>
                <w:i/>
                <w:iCs/>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tcPr>
          <w:p w14:paraId="618C1418" w14:textId="77777777" w:rsidR="00CB4EBF" w:rsidRPr="001C431F" w:rsidRDefault="00CB4EBF" w:rsidP="0054762C">
            <w:pPr>
              <w:spacing w:after="0" w:line="240" w:lineRule="auto"/>
              <w:jc w:val="center"/>
              <w:rPr>
                <w:rFonts w:eastAsia="Times New Roman" w:cs="Times New Roman"/>
                <w:i/>
                <w:iCs/>
                <w:color w:val="000000"/>
                <w:sz w:val="20"/>
                <w:szCs w:val="20"/>
              </w:rPr>
            </w:pPr>
          </w:p>
        </w:tc>
      </w:tr>
      <w:tr w:rsidR="00CB4EBF" w:rsidRPr="00A23750" w14:paraId="78462619" w14:textId="77777777" w:rsidTr="0054762C">
        <w:trPr>
          <w:trHeight w:val="916"/>
        </w:trPr>
        <w:tc>
          <w:tcPr>
            <w:tcW w:w="983" w:type="dxa"/>
            <w:tcBorders>
              <w:top w:val="nil"/>
              <w:left w:val="single" w:sz="8" w:space="0" w:color="auto"/>
              <w:bottom w:val="nil"/>
              <w:right w:val="single" w:sz="8" w:space="0" w:color="auto"/>
            </w:tcBorders>
            <w:shd w:val="clear" w:color="auto" w:fill="auto"/>
            <w:vAlign w:val="center"/>
            <w:hideMark/>
          </w:tcPr>
          <w:p w14:paraId="4FA79388" w14:textId="77777777" w:rsidR="00CB4EBF" w:rsidRPr="001C431F" w:rsidRDefault="00CB4EBF" w:rsidP="0054762C">
            <w:pPr>
              <w:spacing w:after="0" w:line="240" w:lineRule="auto"/>
              <w:jc w:val="both"/>
              <w:rPr>
                <w:rFonts w:cs="Times New Roman"/>
                <w:i/>
                <w:color w:val="000000"/>
                <w:sz w:val="20"/>
                <w:szCs w:val="20"/>
              </w:rPr>
            </w:pPr>
            <w:r>
              <w:rPr>
                <w:rFonts w:eastAsia="Times New Roman" w:cs="Times New Roman"/>
                <w:i/>
                <w:iCs/>
                <w:color w:val="000000"/>
                <w:sz w:val="20"/>
                <w:szCs w:val="20"/>
                <w:lang w:val="hr"/>
              </w:rPr>
              <w:t>PO2</w:t>
            </w:r>
          </w:p>
        </w:tc>
        <w:tc>
          <w:tcPr>
            <w:tcW w:w="992" w:type="dxa"/>
            <w:tcBorders>
              <w:top w:val="nil"/>
              <w:left w:val="nil"/>
              <w:bottom w:val="nil"/>
              <w:right w:val="single" w:sz="8" w:space="0" w:color="auto"/>
            </w:tcBorders>
            <w:shd w:val="clear" w:color="auto" w:fill="auto"/>
            <w:vAlign w:val="center"/>
            <w:hideMark/>
          </w:tcPr>
          <w:p w14:paraId="6AD3B99F" w14:textId="77777777" w:rsidR="00CB4EBF" w:rsidRPr="001C431F" w:rsidRDefault="00CB4EBF" w:rsidP="0054762C">
            <w:pPr>
              <w:spacing w:after="0" w:line="240" w:lineRule="auto"/>
              <w:jc w:val="both"/>
              <w:rPr>
                <w:rFonts w:cs="Times New Roman"/>
                <w:b/>
                <w:i/>
                <w:color w:val="000000"/>
                <w:sz w:val="20"/>
                <w:szCs w:val="20"/>
              </w:rPr>
            </w:pPr>
            <w:r>
              <w:rPr>
                <w:rFonts w:cs="Times New Roman"/>
                <w:b/>
                <w:bCs/>
                <w:i/>
                <w:iCs/>
                <w:color w:val="000000"/>
                <w:sz w:val="20"/>
                <w:szCs w:val="20"/>
                <w:lang w:val="hr"/>
              </w:rPr>
              <w:t>Prioritet 2. Zelenija pogranična regija s niskom razinom emisija ugljika</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14:paraId="5784F435" w14:textId="77777777" w:rsidR="00CB4EBF" w:rsidRPr="001C431F" w:rsidRDefault="00CB4EBF" w:rsidP="0054762C">
            <w:pPr>
              <w:spacing w:after="0" w:line="240" w:lineRule="auto"/>
              <w:jc w:val="both"/>
              <w:rPr>
                <w:rFonts w:cs="Times New Roman"/>
                <w:i/>
                <w:color w:val="000000"/>
                <w:sz w:val="20"/>
                <w:szCs w:val="20"/>
              </w:rPr>
            </w:pPr>
            <w:proofErr w:type="spellStart"/>
            <w:r>
              <w:rPr>
                <w:rFonts w:eastAsia="Times New Roman" w:cs="Times New Roman"/>
                <w:i/>
                <w:iCs/>
                <w:color w:val="000000"/>
                <w:sz w:val="20"/>
                <w:szCs w:val="20"/>
                <w:lang w:val="hr"/>
              </w:rPr>
              <w:t>EFRR</w:t>
            </w:r>
            <w:proofErr w:type="spellEnd"/>
          </w:p>
        </w:tc>
        <w:tc>
          <w:tcPr>
            <w:tcW w:w="1075" w:type="dxa"/>
            <w:vMerge w:val="restart"/>
            <w:tcBorders>
              <w:top w:val="nil"/>
              <w:left w:val="single" w:sz="8" w:space="0" w:color="auto"/>
              <w:bottom w:val="single" w:sz="8" w:space="0" w:color="000000"/>
              <w:right w:val="single" w:sz="8" w:space="0" w:color="auto"/>
            </w:tcBorders>
            <w:shd w:val="clear" w:color="auto" w:fill="auto"/>
            <w:vAlign w:val="center"/>
            <w:hideMark/>
          </w:tcPr>
          <w:p w14:paraId="22998161" w14:textId="77777777" w:rsidR="00CB4EBF" w:rsidRPr="001C431F" w:rsidRDefault="00CB4EBF" w:rsidP="0054762C">
            <w:pPr>
              <w:spacing w:after="0" w:line="240" w:lineRule="auto"/>
              <w:jc w:val="both"/>
              <w:rPr>
                <w:rFonts w:cs="Times New Roman"/>
                <w:i/>
                <w:color w:val="000000"/>
                <w:sz w:val="20"/>
                <w:szCs w:val="20"/>
              </w:rPr>
            </w:pPr>
            <w:r>
              <w:rPr>
                <w:rFonts w:eastAsia="Times New Roman" w:cs="Times New Roman"/>
                <w:i/>
                <w:iCs/>
                <w:color w:val="000000"/>
                <w:sz w:val="20"/>
                <w:szCs w:val="20"/>
                <w:lang w:val="hr"/>
              </w:rPr>
              <w:t>Ukupni prihvatljivi troškovi</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14:paraId="76051DD5" w14:textId="77777777" w:rsidR="00CB4EBF" w:rsidRPr="00B723CC" w:rsidRDefault="00CB4EBF" w:rsidP="0054762C">
            <w:pPr>
              <w:spacing w:after="0" w:line="240" w:lineRule="auto"/>
              <w:jc w:val="both"/>
              <w:rPr>
                <w:rFonts w:cs="Times New Roman"/>
                <w:i/>
                <w:color w:val="000000"/>
                <w:sz w:val="20"/>
                <w:szCs w:val="20"/>
                <w:highlight w:val="lightGray"/>
              </w:rPr>
            </w:pPr>
            <w:r>
              <w:rPr>
                <w:rFonts w:cs="Times New Roman"/>
                <w:color w:val="000000"/>
                <w:sz w:val="20"/>
                <w:szCs w:val="20"/>
                <w:lang w:val="hr"/>
              </w:rPr>
              <w:t>17 859 370,00</w:t>
            </w:r>
          </w:p>
        </w:tc>
        <w:tc>
          <w:tcPr>
            <w:tcW w:w="1418" w:type="dxa"/>
            <w:vMerge w:val="restart"/>
            <w:tcBorders>
              <w:top w:val="nil"/>
              <w:left w:val="single" w:sz="8" w:space="0" w:color="auto"/>
              <w:bottom w:val="single" w:sz="8" w:space="0" w:color="000000"/>
              <w:right w:val="single" w:sz="8" w:space="0" w:color="auto"/>
            </w:tcBorders>
            <w:shd w:val="clear" w:color="000000" w:fill="FFFFFF"/>
            <w:vAlign w:val="center"/>
          </w:tcPr>
          <w:p w14:paraId="3D566C0A" w14:textId="77777777" w:rsidR="00CB4EBF" w:rsidRPr="001C431F" w:rsidRDefault="00CB4EBF" w:rsidP="0054762C">
            <w:pPr>
              <w:spacing w:after="0" w:line="240" w:lineRule="auto"/>
              <w:jc w:val="both"/>
              <w:rPr>
                <w:rFonts w:cs="Times New Roman"/>
                <w:i/>
                <w:color w:val="000000"/>
                <w:sz w:val="20"/>
                <w:szCs w:val="20"/>
              </w:rPr>
            </w:pPr>
            <w:r>
              <w:rPr>
                <w:rFonts w:cs="Times New Roman"/>
                <w:color w:val="000000"/>
                <w:sz w:val="20"/>
                <w:szCs w:val="20"/>
                <w:lang w:val="hr"/>
              </w:rPr>
              <w:t>16 691 000,00</w:t>
            </w:r>
          </w:p>
        </w:tc>
        <w:tc>
          <w:tcPr>
            <w:tcW w:w="1417" w:type="dxa"/>
            <w:vMerge w:val="restart"/>
            <w:tcBorders>
              <w:top w:val="nil"/>
              <w:left w:val="single" w:sz="8" w:space="0" w:color="auto"/>
              <w:bottom w:val="single" w:sz="8" w:space="0" w:color="000000"/>
              <w:right w:val="single" w:sz="8" w:space="0" w:color="auto"/>
            </w:tcBorders>
            <w:shd w:val="clear" w:color="000000" w:fill="FFFFFF"/>
            <w:vAlign w:val="center"/>
          </w:tcPr>
          <w:p w14:paraId="377B989F" w14:textId="77777777" w:rsidR="00CB4EBF" w:rsidRPr="001C431F" w:rsidRDefault="00CB4EBF" w:rsidP="0054762C">
            <w:pPr>
              <w:spacing w:after="0" w:line="240" w:lineRule="auto"/>
              <w:jc w:val="both"/>
              <w:rPr>
                <w:rFonts w:cs="Times New Roman"/>
                <w:i/>
                <w:color w:val="000000"/>
                <w:sz w:val="20"/>
                <w:szCs w:val="20"/>
              </w:rPr>
            </w:pPr>
            <w:r>
              <w:rPr>
                <w:rFonts w:cs="Times New Roman"/>
                <w:color w:val="000000"/>
                <w:sz w:val="20"/>
                <w:szCs w:val="20"/>
                <w:lang w:val="hr"/>
              </w:rPr>
              <w:t>1 168 370,00</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14:paraId="1B9ACF33" w14:textId="77777777" w:rsidR="00CB4EBF" w:rsidRPr="001C431F" w:rsidRDefault="00CB4EBF" w:rsidP="0054762C">
            <w:pPr>
              <w:spacing w:after="0" w:line="240" w:lineRule="auto"/>
              <w:jc w:val="both"/>
              <w:rPr>
                <w:rFonts w:cs="Times New Roman"/>
                <w:i/>
                <w:color w:val="000000"/>
                <w:sz w:val="20"/>
                <w:szCs w:val="20"/>
              </w:rPr>
            </w:pPr>
            <w:r>
              <w:rPr>
                <w:rFonts w:cs="Times New Roman"/>
                <w:color w:val="000000"/>
                <w:sz w:val="20"/>
                <w:szCs w:val="20"/>
                <w:lang w:val="hr"/>
              </w:rPr>
              <w:t>4 464 842,50</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14:paraId="1D0B9D4A" w14:textId="77777777" w:rsidR="00CB4EBF" w:rsidRPr="001C431F" w:rsidRDefault="00CB4EBF" w:rsidP="0054762C">
            <w:pPr>
              <w:spacing w:after="0" w:line="240" w:lineRule="auto"/>
              <w:jc w:val="both"/>
              <w:rPr>
                <w:rFonts w:cs="Times New Roman"/>
                <w:i/>
                <w:color w:val="000000"/>
                <w:sz w:val="20"/>
                <w:szCs w:val="20"/>
              </w:rPr>
            </w:pPr>
            <w:r>
              <w:rPr>
                <w:rFonts w:cs="Times New Roman"/>
                <w:color w:val="000000"/>
                <w:sz w:val="20"/>
                <w:szCs w:val="20"/>
                <w:lang w:val="hr"/>
              </w:rPr>
              <w:t>4 018 358,25</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tcPr>
          <w:p w14:paraId="619DD77A" w14:textId="77777777" w:rsidR="00CB4EBF" w:rsidRPr="001C431F" w:rsidRDefault="00CB4EBF" w:rsidP="0054762C">
            <w:pPr>
              <w:spacing w:after="0" w:line="240" w:lineRule="auto"/>
              <w:jc w:val="both"/>
              <w:rPr>
                <w:rFonts w:cs="Times New Roman"/>
                <w:i/>
                <w:color w:val="000000"/>
                <w:sz w:val="20"/>
                <w:szCs w:val="20"/>
              </w:rPr>
            </w:pPr>
            <w:r>
              <w:rPr>
                <w:rFonts w:cs="Times New Roman"/>
                <w:color w:val="000000"/>
                <w:sz w:val="20"/>
                <w:szCs w:val="20"/>
                <w:lang w:val="hr"/>
              </w:rPr>
              <w:t>446 484,25</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14:paraId="7F605AFA" w14:textId="77777777" w:rsidR="00CB4EBF" w:rsidRPr="001C431F" w:rsidRDefault="00CB4EBF" w:rsidP="0054762C">
            <w:pPr>
              <w:spacing w:after="0" w:line="240" w:lineRule="auto"/>
              <w:jc w:val="both"/>
              <w:rPr>
                <w:rFonts w:cs="Times New Roman"/>
                <w:i/>
                <w:color w:val="000000"/>
                <w:sz w:val="20"/>
                <w:szCs w:val="20"/>
              </w:rPr>
            </w:pPr>
            <w:r>
              <w:rPr>
                <w:rFonts w:cs="Times New Roman"/>
                <w:color w:val="000000"/>
                <w:sz w:val="20"/>
                <w:szCs w:val="20"/>
                <w:lang w:val="hr"/>
              </w:rPr>
              <w:t>22 324 212,50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E8F2C19" w14:textId="77777777" w:rsidR="00CB4EBF" w:rsidRPr="001C431F" w:rsidRDefault="00CB4EBF" w:rsidP="0054762C">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lang w:val="hr"/>
              </w:rPr>
              <w:t>80 %</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tcPr>
          <w:p w14:paraId="459B778D" w14:textId="77777777" w:rsidR="00CB4EBF" w:rsidRPr="001C431F" w:rsidRDefault="00CB4EBF" w:rsidP="0054762C">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lang w:val="hr"/>
              </w:rPr>
              <w:t>N.r.</w:t>
            </w:r>
          </w:p>
        </w:tc>
      </w:tr>
      <w:tr w:rsidR="00CB4EBF" w:rsidRPr="00A23750" w14:paraId="4DF64700" w14:textId="77777777" w:rsidTr="0054762C">
        <w:trPr>
          <w:trHeight w:val="930"/>
        </w:trPr>
        <w:tc>
          <w:tcPr>
            <w:tcW w:w="983" w:type="dxa"/>
            <w:tcBorders>
              <w:top w:val="nil"/>
              <w:left w:val="single" w:sz="8" w:space="0" w:color="auto"/>
              <w:bottom w:val="nil"/>
              <w:right w:val="single" w:sz="8" w:space="0" w:color="auto"/>
            </w:tcBorders>
            <w:shd w:val="clear" w:color="auto" w:fill="auto"/>
            <w:vAlign w:val="center"/>
          </w:tcPr>
          <w:p w14:paraId="36309108" w14:textId="77777777" w:rsidR="00CB4EBF" w:rsidRPr="001C431F" w:rsidRDefault="00CB4EBF" w:rsidP="0054762C">
            <w:pPr>
              <w:spacing w:after="0" w:line="240" w:lineRule="auto"/>
              <w:jc w:val="both"/>
              <w:rPr>
                <w:rFonts w:cs="Times New Roman"/>
                <w:i/>
                <w:color w:val="000000"/>
                <w:sz w:val="20"/>
                <w:szCs w:val="20"/>
              </w:rPr>
            </w:pPr>
          </w:p>
        </w:tc>
        <w:tc>
          <w:tcPr>
            <w:tcW w:w="992" w:type="dxa"/>
            <w:tcBorders>
              <w:top w:val="nil"/>
              <w:left w:val="nil"/>
              <w:bottom w:val="nil"/>
              <w:right w:val="single" w:sz="8" w:space="0" w:color="auto"/>
            </w:tcBorders>
            <w:shd w:val="clear" w:color="auto" w:fill="auto"/>
            <w:vAlign w:val="center"/>
            <w:hideMark/>
          </w:tcPr>
          <w:p w14:paraId="0038B4CE" w14:textId="77777777" w:rsidR="00CB4EBF" w:rsidRPr="001C431F" w:rsidRDefault="00CB4EBF" w:rsidP="0054762C">
            <w:pPr>
              <w:spacing w:after="0" w:line="240" w:lineRule="auto"/>
              <w:jc w:val="both"/>
              <w:rPr>
                <w:rFonts w:cs="Times New Roman"/>
                <w:i/>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hideMark/>
          </w:tcPr>
          <w:p w14:paraId="1A7CEE99" w14:textId="77777777" w:rsidR="00CB4EBF" w:rsidRPr="001C431F" w:rsidRDefault="00CB4EBF" w:rsidP="0054762C">
            <w:pPr>
              <w:spacing w:after="0" w:line="240" w:lineRule="auto"/>
              <w:jc w:val="both"/>
              <w:rPr>
                <w:rFonts w:cs="Times New Roman"/>
                <w:i/>
                <w:color w:val="000000"/>
                <w:sz w:val="20"/>
                <w:szCs w:val="20"/>
              </w:rPr>
            </w:pPr>
          </w:p>
        </w:tc>
        <w:tc>
          <w:tcPr>
            <w:tcW w:w="1075" w:type="dxa"/>
            <w:vMerge/>
            <w:tcBorders>
              <w:top w:val="nil"/>
              <w:left w:val="single" w:sz="8" w:space="0" w:color="auto"/>
              <w:bottom w:val="single" w:sz="8" w:space="0" w:color="000000"/>
              <w:right w:val="single" w:sz="8" w:space="0" w:color="auto"/>
            </w:tcBorders>
            <w:vAlign w:val="center"/>
            <w:hideMark/>
          </w:tcPr>
          <w:p w14:paraId="45DA1A0E" w14:textId="77777777" w:rsidR="00CB4EBF" w:rsidRPr="001C431F" w:rsidRDefault="00CB4EBF" w:rsidP="0054762C">
            <w:pPr>
              <w:spacing w:after="0" w:line="240" w:lineRule="auto"/>
              <w:jc w:val="both"/>
              <w:rPr>
                <w:rFonts w:cs="Times New Roman"/>
                <w:i/>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tcPr>
          <w:p w14:paraId="5B267550" w14:textId="77777777" w:rsidR="00CB4EBF" w:rsidRPr="00B723CC" w:rsidRDefault="00CB4EBF" w:rsidP="0054762C">
            <w:pPr>
              <w:spacing w:after="0" w:line="240" w:lineRule="auto"/>
              <w:jc w:val="both"/>
              <w:rPr>
                <w:rFonts w:cs="Times New Roman"/>
                <w:i/>
                <w:color w:val="000000"/>
                <w:sz w:val="20"/>
                <w:szCs w:val="20"/>
                <w:highlight w:val="lightGray"/>
              </w:rPr>
            </w:pPr>
          </w:p>
        </w:tc>
        <w:tc>
          <w:tcPr>
            <w:tcW w:w="1418" w:type="dxa"/>
            <w:vMerge/>
            <w:tcBorders>
              <w:top w:val="nil"/>
              <w:left w:val="single" w:sz="8" w:space="0" w:color="auto"/>
              <w:bottom w:val="single" w:sz="8" w:space="0" w:color="000000"/>
              <w:right w:val="single" w:sz="8" w:space="0" w:color="auto"/>
            </w:tcBorders>
            <w:vAlign w:val="center"/>
          </w:tcPr>
          <w:p w14:paraId="6D6F757F" w14:textId="77777777" w:rsidR="00CB4EBF" w:rsidRPr="001C431F" w:rsidRDefault="00CB4EBF" w:rsidP="0054762C">
            <w:pPr>
              <w:spacing w:after="0" w:line="240" w:lineRule="auto"/>
              <w:jc w:val="both"/>
              <w:rPr>
                <w:rFonts w:cs="Times New Roman"/>
                <w:i/>
                <w:color w:val="000000"/>
                <w:sz w:val="20"/>
                <w:szCs w:val="20"/>
              </w:rPr>
            </w:pPr>
          </w:p>
        </w:tc>
        <w:tc>
          <w:tcPr>
            <w:tcW w:w="1417" w:type="dxa"/>
            <w:vMerge/>
            <w:tcBorders>
              <w:top w:val="nil"/>
              <w:left w:val="single" w:sz="8" w:space="0" w:color="auto"/>
              <w:bottom w:val="single" w:sz="8" w:space="0" w:color="000000"/>
              <w:right w:val="single" w:sz="8" w:space="0" w:color="auto"/>
            </w:tcBorders>
            <w:vAlign w:val="center"/>
          </w:tcPr>
          <w:p w14:paraId="67FB7781" w14:textId="77777777" w:rsidR="00CB4EBF" w:rsidRPr="001C431F" w:rsidRDefault="00CB4EBF" w:rsidP="0054762C">
            <w:pPr>
              <w:spacing w:after="0" w:line="240" w:lineRule="auto"/>
              <w:jc w:val="both"/>
              <w:rPr>
                <w:rFonts w:cs="Times New Roman"/>
                <w:i/>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tcPr>
          <w:p w14:paraId="35247F22" w14:textId="77777777" w:rsidR="00CB4EBF" w:rsidRPr="001C431F" w:rsidRDefault="00CB4EBF" w:rsidP="0054762C">
            <w:pPr>
              <w:spacing w:after="0" w:line="240" w:lineRule="auto"/>
              <w:jc w:val="both"/>
              <w:rPr>
                <w:rFonts w:cs="Times New Roman"/>
                <w:i/>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tcPr>
          <w:p w14:paraId="542E0B13" w14:textId="77777777" w:rsidR="00CB4EBF" w:rsidRPr="001C431F" w:rsidRDefault="00CB4EBF" w:rsidP="0054762C">
            <w:pPr>
              <w:spacing w:after="0" w:line="240" w:lineRule="auto"/>
              <w:jc w:val="both"/>
              <w:rPr>
                <w:rFonts w:cs="Times New Roman"/>
                <w:i/>
                <w:color w:val="000000"/>
                <w:sz w:val="20"/>
                <w:szCs w:val="20"/>
              </w:rPr>
            </w:pPr>
          </w:p>
        </w:tc>
        <w:tc>
          <w:tcPr>
            <w:tcW w:w="1275" w:type="dxa"/>
            <w:vMerge/>
            <w:tcBorders>
              <w:top w:val="nil"/>
              <w:left w:val="single" w:sz="8" w:space="0" w:color="auto"/>
              <w:bottom w:val="single" w:sz="8" w:space="0" w:color="000000"/>
              <w:right w:val="single" w:sz="8" w:space="0" w:color="auto"/>
            </w:tcBorders>
            <w:vAlign w:val="center"/>
          </w:tcPr>
          <w:p w14:paraId="056BBBEF" w14:textId="77777777" w:rsidR="00CB4EBF" w:rsidRPr="001C431F" w:rsidRDefault="00CB4EBF" w:rsidP="0054762C">
            <w:pPr>
              <w:spacing w:after="0" w:line="240" w:lineRule="auto"/>
              <w:jc w:val="both"/>
              <w:rPr>
                <w:rFonts w:cs="Times New Roman"/>
                <w:i/>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tcPr>
          <w:p w14:paraId="1115861C" w14:textId="77777777" w:rsidR="00CB4EBF" w:rsidRPr="001C431F" w:rsidRDefault="00CB4EBF" w:rsidP="0054762C">
            <w:pPr>
              <w:spacing w:after="0" w:line="240" w:lineRule="auto"/>
              <w:jc w:val="both"/>
              <w:rPr>
                <w:rFonts w:cs="Times New Roman"/>
                <w:i/>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tcPr>
          <w:p w14:paraId="01C6A230" w14:textId="77777777" w:rsidR="00CB4EBF" w:rsidRPr="001C431F" w:rsidRDefault="00CB4EBF" w:rsidP="0054762C">
            <w:pPr>
              <w:spacing w:after="0" w:line="240" w:lineRule="auto"/>
              <w:jc w:val="center"/>
              <w:rPr>
                <w:rFonts w:eastAsia="Times New Roman" w:cs="Times New Roman"/>
                <w:i/>
                <w:iCs/>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tcPr>
          <w:p w14:paraId="3C48BFE3" w14:textId="77777777" w:rsidR="00CB4EBF" w:rsidRPr="001C431F" w:rsidRDefault="00CB4EBF" w:rsidP="0054762C">
            <w:pPr>
              <w:spacing w:after="0" w:line="240" w:lineRule="auto"/>
              <w:jc w:val="center"/>
              <w:rPr>
                <w:rFonts w:eastAsia="Times New Roman" w:cs="Times New Roman"/>
                <w:i/>
                <w:iCs/>
                <w:color w:val="000000"/>
                <w:sz w:val="20"/>
                <w:szCs w:val="20"/>
              </w:rPr>
            </w:pPr>
          </w:p>
        </w:tc>
      </w:tr>
      <w:tr w:rsidR="00CB4EBF" w:rsidRPr="00A23750" w14:paraId="1E35A4BB" w14:textId="77777777" w:rsidTr="0054762C">
        <w:trPr>
          <w:trHeight w:val="505"/>
        </w:trPr>
        <w:tc>
          <w:tcPr>
            <w:tcW w:w="983" w:type="dxa"/>
            <w:tcBorders>
              <w:top w:val="nil"/>
              <w:left w:val="single" w:sz="8" w:space="0" w:color="auto"/>
              <w:bottom w:val="single" w:sz="8" w:space="0" w:color="auto"/>
              <w:right w:val="single" w:sz="8" w:space="0" w:color="auto"/>
            </w:tcBorders>
            <w:shd w:val="clear" w:color="auto" w:fill="auto"/>
            <w:vAlign w:val="center"/>
          </w:tcPr>
          <w:p w14:paraId="7C0EAC2E" w14:textId="77777777" w:rsidR="00CB4EBF" w:rsidRPr="001C431F" w:rsidRDefault="00CB4EBF" w:rsidP="0054762C">
            <w:pPr>
              <w:spacing w:after="0" w:line="240" w:lineRule="auto"/>
              <w:jc w:val="both"/>
              <w:rPr>
                <w:rFonts w:cs="Times New Roman"/>
                <w:i/>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59F0511A" w14:textId="77777777" w:rsidR="00CB4EBF" w:rsidRPr="001C431F" w:rsidRDefault="00CB4EBF" w:rsidP="0054762C">
            <w:pPr>
              <w:spacing w:after="0" w:line="240" w:lineRule="auto"/>
              <w:jc w:val="both"/>
              <w:rPr>
                <w:rFonts w:cs="Times New Roman"/>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hideMark/>
          </w:tcPr>
          <w:p w14:paraId="73643DF7" w14:textId="77777777" w:rsidR="00CB4EBF" w:rsidRPr="001C431F" w:rsidRDefault="00CB4EBF" w:rsidP="0054762C">
            <w:pPr>
              <w:spacing w:after="0" w:line="240" w:lineRule="auto"/>
              <w:jc w:val="both"/>
              <w:rPr>
                <w:rFonts w:cs="Times New Roman"/>
                <w:i/>
                <w:color w:val="000000"/>
                <w:sz w:val="20"/>
                <w:szCs w:val="20"/>
              </w:rPr>
            </w:pPr>
          </w:p>
        </w:tc>
        <w:tc>
          <w:tcPr>
            <w:tcW w:w="1075" w:type="dxa"/>
            <w:vMerge/>
            <w:tcBorders>
              <w:top w:val="nil"/>
              <w:left w:val="single" w:sz="8" w:space="0" w:color="auto"/>
              <w:bottom w:val="single" w:sz="8" w:space="0" w:color="000000"/>
              <w:right w:val="single" w:sz="8" w:space="0" w:color="auto"/>
            </w:tcBorders>
            <w:vAlign w:val="center"/>
            <w:hideMark/>
          </w:tcPr>
          <w:p w14:paraId="67AA1FAB" w14:textId="77777777" w:rsidR="00CB4EBF" w:rsidRPr="001C431F" w:rsidRDefault="00CB4EBF" w:rsidP="0054762C">
            <w:pPr>
              <w:spacing w:after="0" w:line="240" w:lineRule="auto"/>
              <w:jc w:val="both"/>
              <w:rPr>
                <w:rFonts w:cs="Times New Roman"/>
                <w:i/>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tcPr>
          <w:p w14:paraId="048DD58A" w14:textId="77777777" w:rsidR="00CB4EBF" w:rsidRPr="00B723CC" w:rsidRDefault="00CB4EBF" w:rsidP="0054762C">
            <w:pPr>
              <w:spacing w:after="0" w:line="240" w:lineRule="auto"/>
              <w:jc w:val="both"/>
              <w:rPr>
                <w:rFonts w:cs="Times New Roman"/>
                <w:i/>
                <w:color w:val="000000"/>
                <w:sz w:val="20"/>
                <w:szCs w:val="20"/>
                <w:highlight w:val="lightGray"/>
              </w:rPr>
            </w:pPr>
          </w:p>
        </w:tc>
        <w:tc>
          <w:tcPr>
            <w:tcW w:w="1418" w:type="dxa"/>
            <w:vMerge/>
            <w:tcBorders>
              <w:top w:val="nil"/>
              <w:left w:val="single" w:sz="8" w:space="0" w:color="auto"/>
              <w:bottom w:val="single" w:sz="8" w:space="0" w:color="000000"/>
              <w:right w:val="single" w:sz="8" w:space="0" w:color="auto"/>
            </w:tcBorders>
            <w:vAlign w:val="center"/>
          </w:tcPr>
          <w:p w14:paraId="5045D09F" w14:textId="77777777" w:rsidR="00CB4EBF" w:rsidRPr="001C431F" w:rsidRDefault="00CB4EBF" w:rsidP="0054762C">
            <w:pPr>
              <w:spacing w:after="0" w:line="240" w:lineRule="auto"/>
              <w:jc w:val="both"/>
              <w:rPr>
                <w:rFonts w:cs="Times New Roman"/>
                <w:i/>
                <w:color w:val="000000"/>
                <w:sz w:val="20"/>
                <w:szCs w:val="20"/>
              </w:rPr>
            </w:pPr>
          </w:p>
        </w:tc>
        <w:tc>
          <w:tcPr>
            <w:tcW w:w="1417" w:type="dxa"/>
            <w:vMerge/>
            <w:tcBorders>
              <w:top w:val="nil"/>
              <w:left w:val="single" w:sz="8" w:space="0" w:color="auto"/>
              <w:bottom w:val="single" w:sz="8" w:space="0" w:color="000000"/>
              <w:right w:val="single" w:sz="8" w:space="0" w:color="auto"/>
            </w:tcBorders>
            <w:vAlign w:val="center"/>
          </w:tcPr>
          <w:p w14:paraId="21613429" w14:textId="77777777" w:rsidR="00CB4EBF" w:rsidRPr="001C431F" w:rsidRDefault="00CB4EBF" w:rsidP="0054762C">
            <w:pPr>
              <w:spacing w:after="0" w:line="240" w:lineRule="auto"/>
              <w:jc w:val="both"/>
              <w:rPr>
                <w:rFonts w:cs="Times New Roman"/>
                <w:i/>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tcPr>
          <w:p w14:paraId="291ADEEA" w14:textId="77777777" w:rsidR="00CB4EBF" w:rsidRPr="001C431F" w:rsidRDefault="00CB4EBF" w:rsidP="0054762C">
            <w:pPr>
              <w:spacing w:after="0" w:line="240" w:lineRule="auto"/>
              <w:jc w:val="both"/>
              <w:rPr>
                <w:rFonts w:cs="Times New Roman"/>
                <w:i/>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tcPr>
          <w:p w14:paraId="06E67E91" w14:textId="77777777" w:rsidR="00CB4EBF" w:rsidRPr="001C431F" w:rsidRDefault="00CB4EBF" w:rsidP="0054762C">
            <w:pPr>
              <w:spacing w:after="0" w:line="240" w:lineRule="auto"/>
              <w:jc w:val="both"/>
              <w:rPr>
                <w:rFonts w:cs="Times New Roman"/>
                <w:i/>
                <w:color w:val="000000"/>
                <w:sz w:val="20"/>
                <w:szCs w:val="20"/>
              </w:rPr>
            </w:pPr>
          </w:p>
        </w:tc>
        <w:tc>
          <w:tcPr>
            <w:tcW w:w="1275" w:type="dxa"/>
            <w:vMerge/>
            <w:tcBorders>
              <w:top w:val="nil"/>
              <w:left w:val="single" w:sz="8" w:space="0" w:color="auto"/>
              <w:bottom w:val="single" w:sz="8" w:space="0" w:color="000000"/>
              <w:right w:val="single" w:sz="8" w:space="0" w:color="auto"/>
            </w:tcBorders>
            <w:vAlign w:val="center"/>
          </w:tcPr>
          <w:p w14:paraId="5392460F" w14:textId="77777777" w:rsidR="00CB4EBF" w:rsidRPr="001C431F" w:rsidRDefault="00CB4EBF" w:rsidP="0054762C">
            <w:pPr>
              <w:spacing w:after="0" w:line="240" w:lineRule="auto"/>
              <w:jc w:val="both"/>
              <w:rPr>
                <w:rFonts w:cs="Times New Roman"/>
                <w:i/>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tcPr>
          <w:p w14:paraId="2D968EEF" w14:textId="77777777" w:rsidR="00CB4EBF" w:rsidRPr="001C431F" w:rsidRDefault="00CB4EBF" w:rsidP="0054762C">
            <w:pPr>
              <w:spacing w:after="0" w:line="240" w:lineRule="auto"/>
              <w:jc w:val="both"/>
              <w:rPr>
                <w:rFonts w:cs="Times New Roman"/>
                <w:i/>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tcPr>
          <w:p w14:paraId="03F6265E" w14:textId="77777777" w:rsidR="00CB4EBF" w:rsidRPr="001C431F" w:rsidRDefault="00CB4EBF" w:rsidP="0054762C">
            <w:pPr>
              <w:spacing w:after="0" w:line="240" w:lineRule="auto"/>
              <w:jc w:val="center"/>
              <w:rPr>
                <w:rFonts w:eastAsia="Times New Roman" w:cs="Times New Roman"/>
                <w:i/>
                <w:iCs/>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tcPr>
          <w:p w14:paraId="152A98D3" w14:textId="77777777" w:rsidR="00CB4EBF" w:rsidRPr="001C431F" w:rsidRDefault="00CB4EBF" w:rsidP="0054762C">
            <w:pPr>
              <w:spacing w:after="0" w:line="240" w:lineRule="auto"/>
              <w:jc w:val="center"/>
              <w:rPr>
                <w:rFonts w:eastAsia="Times New Roman" w:cs="Times New Roman"/>
                <w:i/>
                <w:iCs/>
                <w:color w:val="000000"/>
                <w:sz w:val="20"/>
                <w:szCs w:val="20"/>
              </w:rPr>
            </w:pPr>
          </w:p>
        </w:tc>
      </w:tr>
      <w:tr w:rsidR="00CB4EBF" w:rsidRPr="00A23750" w14:paraId="4C5ABA57" w14:textId="77777777" w:rsidTr="0054762C">
        <w:trPr>
          <w:trHeight w:val="698"/>
        </w:trPr>
        <w:tc>
          <w:tcPr>
            <w:tcW w:w="983" w:type="dxa"/>
            <w:vMerge w:val="restart"/>
            <w:tcBorders>
              <w:top w:val="nil"/>
              <w:left w:val="single" w:sz="8" w:space="0" w:color="auto"/>
              <w:bottom w:val="single" w:sz="8" w:space="0" w:color="000000"/>
              <w:right w:val="single" w:sz="8" w:space="0" w:color="auto"/>
            </w:tcBorders>
            <w:shd w:val="clear" w:color="auto" w:fill="auto"/>
            <w:vAlign w:val="center"/>
          </w:tcPr>
          <w:p w14:paraId="0AFD57C1" w14:textId="77777777" w:rsidR="00CB4EBF" w:rsidRPr="001C431F" w:rsidRDefault="00CB4EBF" w:rsidP="0054762C">
            <w:pPr>
              <w:spacing w:after="0" w:line="240" w:lineRule="auto"/>
              <w:jc w:val="both"/>
              <w:rPr>
                <w:rFonts w:cs="Times New Roman"/>
                <w:i/>
                <w:color w:val="000000"/>
                <w:sz w:val="20"/>
                <w:szCs w:val="20"/>
              </w:rPr>
            </w:pPr>
            <w:r>
              <w:rPr>
                <w:rFonts w:cs="Times New Roman"/>
                <w:i/>
                <w:iCs/>
                <w:color w:val="000000"/>
                <w:sz w:val="20"/>
                <w:szCs w:val="20"/>
                <w:lang w:val="hr"/>
              </w:rPr>
              <w:t>PO4</w:t>
            </w:r>
          </w:p>
        </w:tc>
        <w:tc>
          <w:tcPr>
            <w:tcW w:w="992" w:type="dxa"/>
            <w:tcBorders>
              <w:top w:val="nil"/>
              <w:left w:val="nil"/>
              <w:bottom w:val="nil"/>
              <w:right w:val="single" w:sz="8" w:space="0" w:color="auto"/>
            </w:tcBorders>
            <w:shd w:val="clear" w:color="auto" w:fill="auto"/>
            <w:vAlign w:val="center"/>
            <w:hideMark/>
          </w:tcPr>
          <w:p w14:paraId="341C34F8" w14:textId="77777777" w:rsidR="00CB4EBF" w:rsidRPr="001C431F" w:rsidRDefault="00CB4EBF" w:rsidP="0054762C">
            <w:pPr>
              <w:spacing w:after="0" w:line="240" w:lineRule="auto"/>
              <w:jc w:val="both"/>
              <w:rPr>
                <w:rFonts w:cs="Times New Roman"/>
                <w:b/>
                <w:i/>
                <w:color w:val="000000"/>
                <w:sz w:val="20"/>
                <w:szCs w:val="20"/>
              </w:rPr>
            </w:pPr>
            <w:r>
              <w:rPr>
                <w:rFonts w:cs="Times New Roman"/>
                <w:b/>
                <w:bCs/>
                <w:i/>
                <w:iCs/>
                <w:color w:val="000000"/>
                <w:sz w:val="20"/>
                <w:szCs w:val="20"/>
                <w:lang w:val="hr"/>
              </w:rPr>
              <w:t xml:space="preserve">Prioritet 3. </w:t>
            </w:r>
            <w:proofErr w:type="spellStart"/>
            <w:r>
              <w:rPr>
                <w:rFonts w:cs="Times New Roman"/>
                <w:b/>
                <w:bCs/>
                <w:i/>
                <w:iCs/>
                <w:color w:val="000000"/>
                <w:sz w:val="20"/>
                <w:szCs w:val="20"/>
                <w:lang w:val="hr"/>
              </w:rPr>
              <w:t>Uključiva</w:t>
            </w:r>
            <w:proofErr w:type="spellEnd"/>
            <w:r>
              <w:rPr>
                <w:rFonts w:cs="Times New Roman"/>
                <w:b/>
                <w:bCs/>
                <w:i/>
                <w:iCs/>
                <w:color w:val="000000"/>
                <w:sz w:val="20"/>
                <w:szCs w:val="20"/>
                <w:lang w:val="hr"/>
              </w:rPr>
              <w:t xml:space="preserve"> pogranična regija</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14:paraId="3928EE3A" w14:textId="77777777" w:rsidR="00CB4EBF" w:rsidRPr="001C431F" w:rsidRDefault="00CB4EBF" w:rsidP="0054762C">
            <w:pPr>
              <w:spacing w:after="0" w:line="240" w:lineRule="auto"/>
              <w:jc w:val="both"/>
              <w:rPr>
                <w:rFonts w:cs="Times New Roman"/>
                <w:i/>
                <w:color w:val="000000"/>
                <w:sz w:val="20"/>
                <w:szCs w:val="20"/>
              </w:rPr>
            </w:pPr>
            <w:proofErr w:type="spellStart"/>
            <w:r>
              <w:rPr>
                <w:rFonts w:eastAsia="Times New Roman" w:cs="Times New Roman"/>
                <w:i/>
                <w:iCs/>
                <w:color w:val="000000"/>
                <w:sz w:val="20"/>
                <w:szCs w:val="20"/>
                <w:lang w:val="hr"/>
              </w:rPr>
              <w:t>EFRR</w:t>
            </w:r>
            <w:proofErr w:type="spellEnd"/>
          </w:p>
        </w:tc>
        <w:tc>
          <w:tcPr>
            <w:tcW w:w="1075" w:type="dxa"/>
            <w:vMerge w:val="restart"/>
            <w:tcBorders>
              <w:top w:val="nil"/>
              <w:left w:val="single" w:sz="8" w:space="0" w:color="auto"/>
              <w:bottom w:val="single" w:sz="8" w:space="0" w:color="000000"/>
              <w:right w:val="single" w:sz="8" w:space="0" w:color="auto"/>
            </w:tcBorders>
            <w:shd w:val="clear" w:color="auto" w:fill="auto"/>
            <w:vAlign w:val="center"/>
            <w:hideMark/>
          </w:tcPr>
          <w:p w14:paraId="724802A1" w14:textId="77777777" w:rsidR="00CB4EBF" w:rsidRPr="001C431F" w:rsidRDefault="00CB4EBF" w:rsidP="0054762C">
            <w:pPr>
              <w:spacing w:after="0" w:line="240" w:lineRule="auto"/>
              <w:jc w:val="both"/>
              <w:rPr>
                <w:rFonts w:cs="Times New Roman"/>
                <w:i/>
                <w:color w:val="000000"/>
                <w:sz w:val="20"/>
                <w:szCs w:val="20"/>
              </w:rPr>
            </w:pPr>
            <w:r>
              <w:rPr>
                <w:rFonts w:eastAsia="Times New Roman" w:cs="Times New Roman"/>
                <w:i/>
                <w:iCs/>
                <w:color w:val="000000"/>
                <w:sz w:val="20"/>
                <w:szCs w:val="20"/>
                <w:lang w:val="hr"/>
              </w:rPr>
              <w:t>Ukupni prihvatljivi troškovi</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14:paraId="4F99D957" w14:textId="77777777" w:rsidR="00CB4EBF" w:rsidRPr="00B723CC" w:rsidRDefault="00CB4EBF" w:rsidP="0054762C">
            <w:pPr>
              <w:spacing w:after="0" w:line="240" w:lineRule="auto"/>
              <w:jc w:val="both"/>
              <w:rPr>
                <w:rFonts w:cs="Times New Roman"/>
                <w:i/>
                <w:color w:val="000000"/>
                <w:sz w:val="20"/>
                <w:szCs w:val="20"/>
                <w:highlight w:val="lightGray"/>
              </w:rPr>
            </w:pPr>
            <w:r>
              <w:rPr>
                <w:rFonts w:cs="Times New Roman"/>
                <w:color w:val="000000"/>
                <w:sz w:val="20"/>
                <w:szCs w:val="20"/>
                <w:lang w:val="hr"/>
              </w:rPr>
              <w:t>35 016 820,00</w:t>
            </w:r>
          </w:p>
        </w:tc>
        <w:tc>
          <w:tcPr>
            <w:tcW w:w="1418" w:type="dxa"/>
            <w:vMerge w:val="restart"/>
            <w:tcBorders>
              <w:top w:val="nil"/>
              <w:left w:val="single" w:sz="8" w:space="0" w:color="auto"/>
              <w:bottom w:val="single" w:sz="8" w:space="0" w:color="000000"/>
              <w:right w:val="single" w:sz="8" w:space="0" w:color="auto"/>
            </w:tcBorders>
            <w:shd w:val="clear" w:color="000000" w:fill="FFFFFF"/>
            <w:vAlign w:val="center"/>
          </w:tcPr>
          <w:p w14:paraId="5C33CC60" w14:textId="77777777" w:rsidR="00CB4EBF" w:rsidRPr="001C431F" w:rsidRDefault="00CB4EBF" w:rsidP="0054762C">
            <w:pPr>
              <w:spacing w:after="0" w:line="240" w:lineRule="auto"/>
              <w:jc w:val="both"/>
              <w:rPr>
                <w:rFonts w:cs="Times New Roman"/>
                <w:i/>
                <w:color w:val="000000"/>
                <w:sz w:val="20"/>
                <w:szCs w:val="20"/>
              </w:rPr>
            </w:pPr>
            <w:r>
              <w:rPr>
                <w:rFonts w:cs="Times New Roman"/>
                <w:color w:val="000000"/>
                <w:sz w:val="20"/>
                <w:szCs w:val="20"/>
                <w:lang w:val="hr"/>
              </w:rPr>
              <w:t>32 726 000,00</w:t>
            </w:r>
          </w:p>
        </w:tc>
        <w:tc>
          <w:tcPr>
            <w:tcW w:w="1417" w:type="dxa"/>
            <w:vMerge w:val="restart"/>
            <w:tcBorders>
              <w:top w:val="nil"/>
              <w:left w:val="single" w:sz="8" w:space="0" w:color="auto"/>
              <w:bottom w:val="single" w:sz="8" w:space="0" w:color="000000"/>
              <w:right w:val="single" w:sz="8" w:space="0" w:color="auto"/>
            </w:tcBorders>
            <w:shd w:val="clear" w:color="000000" w:fill="FFFFFF"/>
            <w:vAlign w:val="center"/>
          </w:tcPr>
          <w:p w14:paraId="4A345CAF" w14:textId="77777777" w:rsidR="00CB4EBF" w:rsidRPr="001C431F" w:rsidRDefault="00CB4EBF" w:rsidP="0054762C">
            <w:pPr>
              <w:spacing w:after="0" w:line="240" w:lineRule="auto"/>
              <w:jc w:val="both"/>
              <w:rPr>
                <w:rFonts w:cs="Times New Roman"/>
                <w:i/>
                <w:color w:val="000000"/>
                <w:sz w:val="20"/>
                <w:szCs w:val="20"/>
              </w:rPr>
            </w:pPr>
            <w:r>
              <w:rPr>
                <w:rFonts w:cs="Times New Roman"/>
                <w:color w:val="000000"/>
                <w:sz w:val="20"/>
                <w:szCs w:val="20"/>
                <w:lang w:val="hr"/>
              </w:rPr>
              <w:t>2 290 820,00</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14:paraId="55D48F4C" w14:textId="77777777" w:rsidR="00CB4EBF" w:rsidRPr="001C431F" w:rsidRDefault="00CB4EBF" w:rsidP="0054762C">
            <w:pPr>
              <w:spacing w:after="0" w:line="240" w:lineRule="auto"/>
              <w:jc w:val="both"/>
              <w:rPr>
                <w:rFonts w:cs="Times New Roman"/>
                <w:i/>
                <w:color w:val="000000"/>
                <w:sz w:val="20"/>
                <w:szCs w:val="20"/>
              </w:rPr>
            </w:pPr>
            <w:r>
              <w:rPr>
                <w:rFonts w:cs="Times New Roman"/>
                <w:color w:val="000000"/>
                <w:sz w:val="20"/>
                <w:szCs w:val="20"/>
                <w:lang w:val="hr"/>
              </w:rPr>
              <w:t>8 754 205,00</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14:paraId="568A3BC3" w14:textId="77777777" w:rsidR="00CB4EBF" w:rsidRPr="001C431F" w:rsidRDefault="00CB4EBF" w:rsidP="0054762C">
            <w:pPr>
              <w:spacing w:after="0" w:line="240" w:lineRule="auto"/>
              <w:jc w:val="both"/>
              <w:rPr>
                <w:rFonts w:cs="Times New Roman"/>
                <w:i/>
                <w:color w:val="000000"/>
                <w:sz w:val="20"/>
                <w:szCs w:val="20"/>
              </w:rPr>
            </w:pPr>
            <w:r>
              <w:rPr>
                <w:rFonts w:cs="Times New Roman"/>
                <w:color w:val="000000"/>
                <w:sz w:val="20"/>
                <w:szCs w:val="20"/>
                <w:lang w:val="hr"/>
              </w:rPr>
              <w:t>7 878 784,50</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tcPr>
          <w:p w14:paraId="102389ED" w14:textId="77777777" w:rsidR="00CB4EBF" w:rsidRPr="001C431F" w:rsidRDefault="00CB4EBF" w:rsidP="0054762C">
            <w:pPr>
              <w:spacing w:after="0" w:line="240" w:lineRule="auto"/>
              <w:jc w:val="both"/>
              <w:rPr>
                <w:rFonts w:cs="Times New Roman"/>
                <w:i/>
                <w:color w:val="000000"/>
                <w:sz w:val="20"/>
                <w:szCs w:val="20"/>
              </w:rPr>
            </w:pPr>
            <w:r>
              <w:rPr>
                <w:rFonts w:cs="Times New Roman"/>
                <w:color w:val="000000"/>
                <w:sz w:val="20"/>
                <w:szCs w:val="20"/>
                <w:lang w:val="hr"/>
              </w:rPr>
              <w:t>875 420,50</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14:paraId="3E6EF3A8" w14:textId="77777777" w:rsidR="00CB4EBF" w:rsidRPr="001C431F" w:rsidRDefault="00CB4EBF" w:rsidP="0054762C">
            <w:pPr>
              <w:spacing w:after="0" w:line="240" w:lineRule="auto"/>
              <w:jc w:val="both"/>
              <w:rPr>
                <w:rFonts w:cs="Times New Roman"/>
                <w:i/>
                <w:color w:val="000000"/>
                <w:sz w:val="20"/>
                <w:szCs w:val="20"/>
              </w:rPr>
            </w:pPr>
            <w:r>
              <w:rPr>
                <w:rFonts w:cs="Times New Roman"/>
                <w:color w:val="000000"/>
                <w:sz w:val="20"/>
                <w:szCs w:val="20"/>
                <w:lang w:val="hr"/>
              </w:rPr>
              <w:t>43 771 025,00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41865477" w14:textId="77777777" w:rsidR="00CB4EBF" w:rsidRPr="001C431F" w:rsidRDefault="00CB4EBF" w:rsidP="0054762C">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lang w:val="hr"/>
              </w:rPr>
              <w:t>80 %</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tcPr>
          <w:p w14:paraId="59632A4D" w14:textId="77777777" w:rsidR="00CB4EBF" w:rsidRPr="001C431F" w:rsidRDefault="00CB4EBF" w:rsidP="0054762C">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lang w:val="hr"/>
              </w:rPr>
              <w:t>N.r.</w:t>
            </w:r>
          </w:p>
        </w:tc>
      </w:tr>
      <w:tr w:rsidR="00CB4EBF" w:rsidRPr="00A23750" w14:paraId="281AF6BB" w14:textId="77777777" w:rsidTr="0054762C">
        <w:trPr>
          <w:trHeight w:val="810"/>
        </w:trPr>
        <w:tc>
          <w:tcPr>
            <w:tcW w:w="983" w:type="dxa"/>
            <w:vMerge/>
            <w:tcBorders>
              <w:top w:val="nil"/>
              <w:left w:val="single" w:sz="8" w:space="0" w:color="auto"/>
              <w:bottom w:val="single" w:sz="8" w:space="0" w:color="000000"/>
              <w:right w:val="single" w:sz="8" w:space="0" w:color="auto"/>
            </w:tcBorders>
            <w:vAlign w:val="center"/>
            <w:hideMark/>
          </w:tcPr>
          <w:p w14:paraId="4FAB8ACC" w14:textId="77777777" w:rsidR="00CB4EBF" w:rsidRPr="001C431F" w:rsidRDefault="00CB4EBF" w:rsidP="0054762C">
            <w:pPr>
              <w:spacing w:after="0" w:line="240" w:lineRule="auto"/>
              <w:jc w:val="both"/>
              <w:rPr>
                <w:rFonts w:cs="Times New Roman"/>
                <w:i/>
                <w:color w:val="000000"/>
                <w:sz w:val="20"/>
                <w:szCs w:val="20"/>
              </w:rPr>
            </w:pPr>
          </w:p>
        </w:tc>
        <w:tc>
          <w:tcPr>
            <w:tcW w:w="992" w:type="dxa"/>
            <w:tcBorders>
              <w:top w:val="nil"/>
              <w:left w:val="nil"/>
              <w:bottom w:val="nil"/>
              <w:right w:val="nil"/>
            </w:tcBorders>
            <w:shd w:val="clear" w:color="auto" w:fill="auto"/>
            <w:noWrap/>
            <w:vAlign w:val="center"/>
            <w:hideMark/>
          </w:tcPr>
          <w:p w14:paraId="02F8A33B" w14:textId="77777777" w:rsidR="00CB4EBF" w:rsidRPr="001C431F" w:rsidRDefault="00CB4EBF" w:rsidP="0054762C">
            <w:pPr>
              <w:spacing w:after="0" w:line="240" w:lineRule="auto"/>
              <w:jc w:val="both"/>
              <w:rPr>
                <w:rFonts w:cs="Times New Roman"/>
                <w:i/>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hideMark/>
          </w:tcPr>
          <w:p w14:paraId="179AD039" w14:textId="77777777" w:rsidR="00CB4EBF" w:rsidRPr="001C431F" w:rsidRDefault="00CB4EBF" w:rsidP="0054762C">
            <w:pPr>
              <w:spacing w:after="0" w:line="240" w:lineRule="auto"/>
              <w:jc w:val="both"/>
              <w:rPr>
                <w:rFonts w:cs="Times New Roman"/>
                <w:i/>
                <w:color w:val="000000"/>
                <w:sz w:val="20"/>
                <w:szCs w:val="20"/>
              </w:rPr>
            </w:pPr>
          </w:p>
        </w:tc>
        <w:tc>
          <w:tcPr>
            <w:tcW w:w="1075" w:type="dxa"/>
            <w:vMerge/>
            <w:tcBorders>
              <w:top w:val="nil"/>
              <w:left w:val="single" w:sz="8" w:space="0" w:color="auto"/>
              <w:bottom w:val="single" w:sz="8" w:space="0" w:color="000000"/>
              <w:right w:val="single" w:sz="8" w:space="0" w:color="auto"/>
            </w:tcBorders>
            <w:vAlign w:val="center"/>
            <w:hideMark/>
          </w:tcPr>
          <w:p w14:paraId="2932E09F" w14:textId="77777777" w:rsidR="00CB4EBF" w:rsidRPr="001C431F" w:rsidRDefault="00CB4EBF" w:rsidP="0054762C">
            <w:pPr>
              <w:spacing w:after="0" w:line="240" w:lineRule="auto"/>
              <w:jc w:val="both"/>
              <w:rPr>
                <w:rFonts w:cs="Times New Roman"/>
                <w:i/>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tcPr>
          <w:p w14:paraId="1FDFE9F0" w14:textId="77777777" w:rsidR="00CB4EBF" w:rsidRPr="001C431F" w:rsidRDefault="00CB4EBF" w:rsidP="0054762C">
            <w:pPr>
              <w:spacing w:after="0" w:line="240" w:lineRule="auto"/>
              <w:jc w:val="both"/>
              <w:rPr>
                <w:rFonts w:cs="Times New Roman"/>
                <w:i/>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tcPr>
          <w:p w14:paraId="6C1E5C2D" w14:textId="77777777" w:rsidR="00CB4EBF" w:rsidRPr="001C431F" w:rsidRDefault="00CB4EBF" w:rsidP="0054762C">
            <w:pPr>
              <w:spacing w:after="0" w:line="240" w:lineRule="auto"/>
              <w:jc w:val="both"/>
              <w:rPr>
                <w:rFonts w:cs="Times New Roman"/>
                <w:i/>
                <w:color w:val="000000"/>
                <w:sz w:val="20"/>
                <w:szCs w:val="20"/>
              </w:rPr>
            </w:pPr>
          </w:p>
        </w:tc>
        <w:tc>
          <w:tcPr>
            <w:tcW w:w="1417" w:type="dxa"/>
            <w:vMerge/>
            <w:tcBorders>
              <w:top w:val="nil"/>
              <w:left w:val="single" w:sz="8" w:space="0" w:color="auto"/>
              <w:bottom w:val="single" w:sz="8" w:space="0" w:color="000000"/>
              <w:right w:val="single" w:sz="8" w:space="0" w:color="auto"/>
            </w:tcBorders>
            <w:vAlign w:val="center"/>
          </w:tcPr>
          <w:p w14:paraId="63C308D5" w14:textId="77777777" w:rsidR="00CB4EBF" w:rsidRPr="001C431F" w:rsidRDefault="00CB4EBF" w:rsidP="0054762C">
            <w:pPr>
              <w:spacing w:after="0" w:line="240" w:lineRule="auto"/>
              <w:jc w:val="both"/>
              <w:rPr>
                <w:rFonts w:cs="Times New Roman"/>
                <w:i/>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tcPr>
          <w:p w14:paraId="4C36AF2A" w14:textId="77777777" w:rsidR="00CB4EBF" w:rsidRPr="001C431F" w:rsidRDefault="00CB4EBF" w:rsidP="0054762C">
            <w:pPr>
              <w:spacing w:after="0" w:line="240" w:lineRule="auto"/>
              <w:jc w:val="both"/>
              <w:rPr>
                <w:rFonts w:cs="Times New Roman"/>
                <w:i/>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tcPr>
          <w:p w14:paraId="68EACBA7" w14:textId="77777777" w:rsidR="00CB4EBF" w:rsidRPr="001C431F" w:rsidRDefault="00CB4EBF" w:rsidP="0054762C">
            <w:pPr>
              <w:spacing w:after="0" w:line="240" w:lineRule="auto"/>
              <w:jc w:val="both"/>
              <w:rPr>
                <w:rFonts w:cs="Times New Roman"/>
                <w:i/>
                <w:color w:val="000000"/>
                <w:sz w:val="20"/>
                <w:szCs w:val="20"/>
              </w:rPr>
            </w:pPr>
          </w:p>
        </w:tc>
        <w:tc>
          <w:tcPr>
            <w:tcW w:w="1275" w:type="dxa"/>
            <w:vMerge/>
            <w:tcBorders>
              <w:top w:val="nil"/>
              <w:left w:val="single" w:sz="8" w:space="0" w:color="auto"/>
              <w:bottom w:val="single" w:sz="8" w:space="0" w:color="000000"/>
              <w:right w:val="single" w:sz="8" w:space="0" w:color="auto"/>
            </w:tcBorders>
            <w:vAlign w:val="center"/>
          </w:tcPr>
          <w:p w14:paraId="1293A701" w14:textId="77777777" w:rsidR="00CB4EBF" w:rsidRPr="001C431F" w:rsidRDefault="00CB4EBF" w:rsidP="0054762C">
            <w:pPr>
              <w:spacing w:after="0" w:line="240" w:lineRule="auto"/>
              <w:jc w:val="both"/>
              <w:rPr>
                <w:rFonts w:cs="Times New Roman"/>
                <w:i/>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tcPr>
          <w:p w14:paraId="457A82F7" w14:textId="77777777" w:rsidR="00CB4EBF" w:rsidRPr="001C431F" w:rsidRDefault="00CB4EBF" w:rsidP="0054762C">
            <w:pPr>
              <w:spacing w:after="0" w:line="240" w:lineRule="auto"/>
              <w:jc w:val="both"/>
              <w:rPr>
                <w:rFonts w:cs="Times New Roman"/>
                <w:i/>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tcPr>
          <w:p w14:paraId="07FF2104" w14:textId="77777777" w:rsidR="00CB4EBF" w:rsidRPr="001C431F" w:rsidRDefault="00CB4EBF" w:rsidP="0054762C">
            <w:pPr>
              <w:spacing w:after="0" w:line="240" w:lineRule="auto"/>
              <w:jc w:val="both"/>
              <w:rPr>
                <w:rFonts w:eastAsia="Times New Roman" w:cs="Times New Roman"/>
                <w:i/>
                <w:iCs/>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tcPr>
          <w:p w14:paraId="61A23D6A" w14:textId="77777777" w:rsidR="00CB4EBF" w:rsidRPr="001C431F" w:rsidRDefault="00CB4EBF" w:rsidP="0054762C">
            <w:pPr>
              <w:spacing w:after="0" w:line="240" w:lineRule="auto"/>
              <w:jc w:val="center"/>
              <w:rPr>
                <w:rFonts w:eastAsia="Times New Roman" w:cs="Times New Roman"/>
                <w:i/>
                <w:iCs/>
                <w:color w:val="000000"/>
                <w:sz w:val="20"/>
                <w:szCs w:val="20"/>
              </w:rPr>
            </w:pPr>
          </w:p>
        </w:tc>
      </w:tr>
      <w:tr w:rsidR="00CB4EBF" w:rsidRPr="00A23750" w14:paraId="03E9A6D7" w14:textId="77777777" w:rsidTr="0054762C">
        <w:trPr>
          <w:trHeight w:val="630"/>
        </w:trPr>
        <w:tc>
          <w:tcPr>
            <w:tcW w:w="983" w:type="dxa"/>
            <w:tcBorders>
              <w:top w:val="nil"/>
              <w:left w:val="single" w:sz="8" w:space="0" w:color="auto"/>
              <w:bottom w:val="nil"/>
              <w:right w:val="single" w:sz="8" w:space="0" w:color="auto"/>
            </w:tcBorders>
            <w:shd w:val="clear" w:color="auto" w:fill="auto"/>
            <w:vAlign w:val="center"/>
            <w:hideMark/>
          </w:tcPr>
          <w:p w14:paraId="2D783B00" w14:textId="77777777" w:rsidR="00CB4EBF" w:rsidRPr="001C431F" w:rsidRDefault="00CB4EBF" w:rsidP="0054762C">
            <w:pPr>
              <w:spacing w:after="0" w:line="240" w:lineRule="auto"/>
              <w:jc w:val="both"/>
              <w:rPr>
                <w:rFonts w:cs="Times New Roman"/>
                <w:i/>
                <w:color w:val="000000"/>
                <w:sz w:val="20"/>
                <w:szCs w:val="20"/>
              </w:rPr>
            </w:pPr>
            <w:r>
              <w:rPr>
                <w:rFonts w:eastAsia="Times New Roman" w:cs="Times New Roman"/>
                <w:i/>
                <w:iCs/>
                <w:color w:val="000000"/>
                <w:sz w:val="20"/>
                <w:szCs w:val="20"/>
                <w:lang w:val="hr"/>
              </w:rPr>
              <w:t>ISO1 „Bolje upravljanje suradnjom”</w:t>
            </w:r>
          </w:p>
        </w:tc>
        <w:tc>
          <w:tcPr>
            <w:tcW w:w="992" w:type="dxa"/>
            <w:tcBorders>
              <w:top w:val="nil"/>
              <w:left w:val="nil"/>
              <w:bottom w:val="nil"/>
              <w:right w:val="single" w:sz="8" w:space="0" w:color="auto"/>
            </w:tcBorders>
            <w:shd w:val="clear" w:color="auto" w:fill="auto"/>
            <w:vAlign w:val="center"/>
            <w:hideMark/>
          </w:tcPr>
          <w:p w14:paraId="787C4B62" w14:textId="77777777" w:rsidR="00CB4EBF" w:rsidRPr="001C431F" w:rsidRDefault="00CB4EBF" w:rsidP="0054762C">
            <w:pPr>
              <w:spacing w:after="0" w:line="240" w:lineRule="auto"/>
              <w:jc w:val="both"/>
              <w:rPr>
                <w:rFonts w:cs="Times New Roman"/>
                <w:b/>
                <w:i/>
                <w:color w:val="000000"/>
                <w:sz w:val="20"/>
                <w:szCs w:val="20"/>
              </w:rPr>
            </w:pPr>
            <w:r>
              <w:rPr>
                <w:rFonts w:eastAsia="Times New Roman" w:cs="Times New Roman"/>
                <w:b/>
                <w:bCs/>
                <w:i/>
                <w:iCs/>
                <w:color w:val="000000"/>
                <w:sz w:val="20"/>
                <w:szCs w:val="20"/>
                <w:lang w:val="hr"/>
              </w:rPr>
              <w:t>Prioritet 4. Pogranična regija u suradnji</w:t>
            </w:r>
          </w:p>
        </w:tc>
        <w:tc>
          <w:tcPr>
            <w:tcW w:w="1051" w:type="dxa"/>
            <w:tcBorders>
              <w:top w:val="nil"/>
              <w:left w:val="single" w:sz="8" w:space="0" w:color="auto"/>
              <w:bottom w:val="single" w:sz="8" w:space="0" w:color="000000"/>
              <w:right w:val="single" w:sz="8" w:space="0" w:color="auto"/>
            </w:tcBorders>
            <w:shd w:val="clear" w:color="auto" w:fill="auto"/>
            <w:vAlign w:val="center"/>
            <w:hideMark/>
          </w:tcPr>
          <w:p w14:paraId="5364ED61" w14:textId="77777777" w:rsidR="00CB4EBF" w:rsidRPr="001C431F" w:rsidRDefault="00CB4EBF" w:rsidP="0054762C">
            <w:pPr>
              <w:spacing w:after="0" w:line="240" w:lineRule="auto"/>
              <w:jc w:val="both"/>
              <w:rPr>
                <w:rFonts w:cs="Times New Roman"/>
                <w:i/>
                <w:color w:val="000000"/>
                <w:sz w:val="20"/>
                <w:szCs w:val="20"/>
              </w:rPr>
            </w:pPr>
            <w:proofErr w:type="spellStart"/>
            <w:r>
              <w:rPr>
                <w:rFonts w:cs="Times New Roman"/>
                <w:i/>
                <w:iCs/>
                <w:color w:val="000000"/>
                <w:sz w:val="20"/>
                <w:szCs w:val="20"/>
                <w:lang w:val="hr"/>
              </w:rPr>
              <w:t>EFRR</w:t>
            </w:r>
            <w:proofErr w:type="spellEnd"/>
          </w:p>
        </w:tc>
        <w:tc>
          <w:tcPr>
            <w:tcW w:w="1075" w:type="dxa"/>
            <w:tcBorders>
              <w:top w:val="nil"/>
              <w:left w:val="single" w:sz="8" w:space="0" w:color="auto"/>
              <w:bottom w:val="single" w:sz="8" w:space="0" w:color="000000"/>
              <w:right w:val="single" w:sz="8" w:space="0" w:color="auto"/>
            </w:tcBorders>
            <w:shd w:val="clear" w:color="auto" w:fill="auto"/>
            <w:vAlign w:val="center"/>
            <w:hideMark/>
          </w:tcPr>
          <w:p w14:paraId="61F388F7" w14:textId="77777777" w:rsidR="00CB4EBF" w:rsidRPr="001C431F" w:rsidRDefault="00CB4EBF" w:rsidP="0054762C">
            <w:pPr>
              <w:spacing w:after="0" w:line="240" w:lineRule="auto"/>
              <w:jc w:val="both"/>
              <w:rPr>
                <w:rFonts w:cs="Times New Roman"/>
                <w:i/>
                <w:color w:val="000000"/>
                <w:sz w:val="20"/>
                <w:szCs w:val="20"/>
              </w:rPr>
            </w:pPr>
            <w:r>
              <w:rPr>
                <w:rFonts w:eastAsia="Times New Roman" w:cs="Times New Roman"/>
                <w:i/>
                <w:iCs/>
                <w:color w:val="000000"/>
                <w:sz w:val="20"/>
                <w:szCs w:val="20"/>
                <w:lang w:val="hr"/>
              </w:rPr>
              <w:t>Ukupni prihvatljivi troškovi</w:t>
            </w:r>
          </w:p>
        </w:tc>
        <w:tc>
          <w:tcPr>
            <w:tcW w:w="1418" w:type="dxa"/>
            <w:tcBorders>
              <w:top w:val="nil"/>
              <w:left w:val="single" w:sz="8" w:space="0" w:color="auto"/>
              <w:bottom w:val="single" w:sz="8" w:space="0" w:color="000000"/>
              <w:right w:val="single" w:sz="8" w:space="0" w:color="auto"/>
            </w:tcBorders>
            <w:shd w:val="clear" w:color="auto" w:fill="auto"/>
            <w:vAlign w:val="center"/>
          </w:tcPr>
          <w:p w14:paraId="56DA46B1" w14:textId="77777777" w:rsidR="00CB4EBF" w:rsidRPr="001C431F" w:rsidRDefault="00CB4EBF" w:rsidP="0054762C">
            <w:pPr>
              <w:spacing w:after="0" w:line="240" w:lineRule="auto"/>
              <w:jc w:val="both"/>
              <w:rPr>
                <w:rFonts w:cs="Times New Roman"/>
                <w:i/>
                <w:color w:val="000000"/>
                <w:sz w:val="20"/>
                <w:szCs w:val="20"/>
              </w:rPr>
            </w:pPr>
            <w:r>
              <w:rPr>
                <w:rFonts w:cs="Times New Roman"/>
                <w:color w:val="000000"/>
                <w:sz w:val="20"/>
                <w:szCs w:val="20"/>
                <w:lang w:val="hr"/>
              </w:rPr>
              <w:t>5 601 840,00</w:t>
            </w:r>
          </w:p>
        </w:tc>
        <w:tc>
          <w:tcPr>
            <w:tcW w:w="1418" w:type="dxa"/>
            <w:tcBorders>
              <w:top w:val="nil"/>
              <w:left w:val="single" w:sz="8" w:space="0" w:color="auto"/>
              <w:bottom w:val="single" w:sz="8" w:space="0" w:color="000000"/>
              <w:right w:val="single" w:sz="8" w:space="0" w:color="auto"/>
            </w:tcBorders>
            <w:shd w:val="clear" w:color="000000" w:fill="FFFFFF"/>
            <w:vAlign w:val="center"/>
          </w:tcPr>
          <w:p w14:paraId="0ED6E1C6" w14:textId="77777777" w:rsidR="00CB4EBF" w:rsidRPr="001C431F" w:rsidRDefault="00CB4EBF" w:rsidP="0054762C">
            <w:pPr>
              <w:spacing w:after="0" w:line="240" w:lineRule="auto"/>
              <w:jc w:val="both"/>
              <w:rPr>
                <w:rFonts w:cs="Times New Roman"/>
                <w:i/>
                <w:color w:val="000000"/>
                <w:sz w:val="20"/>
                <w:szCs w:val="20"/>
              </w:rPr>
            </w:pPr>
            <w:r>
              <w:rPr>
                <w:rFonts w:cs="Times New Roman"/>
                <w:color w:val="000000"/>
                <w:sz w:val="20"/>
                <w:szCs w:val="20"/>
                <w:lang w:val="hr"/>
              </w:rPr>
              <w:t>5 235 364,49</w:t>
            </w:r>
          </w:p>
        </w:tc>
        <w:tc>
          <w:tcPr>
            <w:tcW w:w="1417" w:type="dxa"/>
            <w:tcBorders>
              <w:top w:val="nil"/>
              <w:left w:val="single" w:sz="8" w:space="0" w:color="auto"/>
              <w:bottom w:val="single" w:sz="8" w:space="0" w:color="000000"/>
              <w:right w:val="single" w:sz="8" w:space="0" w:color="auto"/>
            </w:tcBorders>
            <w:shd w:val="clear" w:color="000000" w:fill="FFFFFF"/>
            <w:vAlign w:val="center"/>
          </w:tcPr>
          <w:p w14:paraId="64A02ADD" w14:textId="77777777" w:rsidR="00CB4EBF" w:rsidRPr="001C431F" w:rsidRDefault="00CB4EBF" w:rsidP="0054762C">
            <w:pPr>
              <w:spacing w:after="0" w:line="240" w:lineRule="auto"/>
              <w:jc w:val="both"/>
              <w:rPr>
                <w:rFonts w:cs="Times New Roman"/>
                <w:i/>
                <w:color w:val="000000"/>
                <w:sz w:val="20"/>
                <w:szCs w:val="20"/>
              </w:rPr>
            </w:pPr>
            <w:r>
              <w:rPr>
                <w:rFonts w:cs="Times New Roman"/>
                <w:color w:val="000000"/>
                <w:sz w:val="20"/>
                <w:szCs w:val="20"/>
                <w:lang w:val="hr"/>
              </w:rPr>
              <w:t>366 475,51</w:t>
            </w:r>
          </w:p>
        </w:tc>
        <w:tc>
          <w:tcPr>
            <w:tcW w:w="1418" w:type="dxa"/>
            <w:tcBorders>
              <w:top w:val="nil"/>
              <w:left w:val="single" w:sz="8" w:space="0" w:color="auto"/>
              <w:bottom w:val="single" w:sz="8" w:space="0" w:color="000000"/>
              <w:right w:val="single" w:sz="8" w:space="0" w:color="auto"/>
            </w:tcBorders>
            <w:shd w:val="clear" w:color="auto" w:fill="auto"/>
            <w:vAlign w:val="center"/>
          </w:tcPr>
          <w:p w14:paraId="6F995A7E" w14:textId="77777777" w:rsidR="00CB4EBF" w:rsidRPr="001C431F" w:rsidRDefault="00CB4EBF" w:rsidP="0054762C">
            <w:pPr>
              <w:spacing w:after="0" w:line="240" w:lineRule="auto"/>
              <w:jc w:val="both"/>
              <w:rPr>
                <w:rFonts w:cs="Times New Roman"/>
                <w:i/>
                <w:color w:val="000000"/>
                <w:sz w:val="20"/>
                <w:szCs w:val="20"/>
              </w:rPr>
            </w:pPr>
            <w:r>
              <w:rPr>
                <w:rFonts w:cs="Times New Roman"/>
                <w:color w:val="000000"/>
                <w:sz w:val="20"/>
                <w:szCs w:val="20"/>
                <w:lang w:val="hr"/>
              </w:rPr>
              <w:t>1 400 460,01</w:t>
            </w:r>
          </w:p>
        </w:tc>
        <w:tc>
          <w:tcPr>
            <w:tcW w:w="1418" w:type="dxa"/>
            <w:tcBorders>
              <w:top w:val="nil"/>
              <w:left w:val="single" w:sz="8" w:space="0" w:color="auto"/>
              <w:bottom w:val="single" w:sz="8" w:space="0" w:color="000000"/>
              <w:right w:val="single" w:sz="8" w:space="0" w:color="auto"/>
            </w:tcBorders>
            <w:shd w:val="clear" w:color="auto" w:fill="auto"/>
            <w:vAlign w:val="center"/>
          </w:tcPr>
          <w:p w14:paraId="6931776D" w14:textId="77777777" w:rsidR="00CB4EBF" w:rsidRPr="001C431F" w:rsidRDefault="00CB4EBF" w:rsidP="0054762C">
            <w:pPr>
              <w:spacing w:after="0" w:line="240" w:lineRule="auto"/>
              <w:jc w:val="both"/>
              <w:rPr>
                <w:rFonts w:cs="Times New Roman"/>
                <w:i/>
                <w:color w:val="000000"/>
                <w:sz w:val="20"/>
                <w:szCs w:val="20"/>
              </w:rPr>
            </w:pPr>
            <w:r>
              <w:rPr>
                <w:rFonts w:cs="Times New Roman"/>
                <w:color w:val="000000"/>
                <w:sz w:val="20"/>
                <w:szCs w:val="20"/>
                <w:lang w:val="hr"/>
              </w:rPr>
              <w:t>1 260 414,01</w:t>
            </w:r>
          </w:p>
        </w:tc>
        <w:tc>
          <w:tcPr>
            <w:tcW w:w="1275" w:type="dxa"/>
            <w:tcBorders>
              <w:top w:val="nil"/>
              <w:left w:val="single" w:sz="8" w:space="0" w:color="auto"/>
              <w:bottom w:val="single" w:sz="8" w:space="0" w:color="000000"/>
              <w:right w:val="single" w:sz="8" w:space="0" w:color="auto"/>
            </w:tcBorders>
            <w:shd w:val="clear" w:color="auto" w:fill="auto"/>
            <w:vAlign w:val="center"/>
          </w:tcPr>
          <w:p w14:paraId="29BF80EB" w14:textId="77777777" w:rsidR="00CB4EBF" w:rsidRPr="001C431F" w:rsidRDefault="00CB4EBF" w:rsidP="0054762C">
            <w:pPr>
              <w:spacing w:after="0" w:line="240" w:lineRule="auto"/>
              <w:jc w:val="both"/>
              <w:rPr>
                <w:rFonts w:cs="Times New Roman"/>
                <w:i/>
                <w:color w:val="000000"/>
                <w:sz w:val="20"/>
                <w:szCs w:val="20"/>
              </w:rPr>
            </w:pPr>
            <w:r>
              <w:rPr>
                <w:rFonts w:cs="Times New Roman"/>
                <w:color w:val="000000"/>
                <w:sz w:val="20"/>
                <w:szCs w:val="20"/>
                <w:lang w:val="hr"/>
              </w:rPr>
              <w:t>140 046,00</w:t>
            </w:r>
          </w:p>
        </w:tc>
        <w:tc>
          <w:tcPr>
            <w:tcW w:w="1418" w:type="dxa"/>
            <w:tcBorders>
              <w:top w:val="nil"/>
              <w:left w:val="single" w:sz="8" w:space="0" w:color="auto"/>
              <w:bottom w:val="single" w:sz="8" w:space="0" w:color="000000"/>
              <w:right w:val="single" w:sz="8" w:space="0" w:color="auto"/>
            </w:tcBorders>
            <w:shd w:val="clear" w:color="auto" w:fill="auto"/>
            <w:vAlign w:val="center"/>
          </w:tcPr>
          <w:p w14:paraId="32C17590" w14:textId="77777777" w:rsidR="00CB4EBF" w:rsidRPr="001C431F" w:rsidRDefault="00CB4EBF" w:rsidP="0054762C">
            <w:pPr>
              <w:spacing w:after="0" w:line="240" w:lineRule="auto"/>
              <w:jc w:val="both"/>
              <w:rPr>
                <w:rFonts w:cs="Times New Roman"/>
                <w:i/>
                <w:color w:val="000000"/>
                <w:sz w:val="20"/>
                <w:szCs w:val="20"/>
              </w:rPr>
            </w:pPr>
            <w:r>
              <w:rPr>
                <w:rFonts w:cs="Times New Roman"/>
                <w:color w:val="000000"/>
                <w:sz w:val="20"/>
                <w:szCs w:val="20"/>
                <w:lang w:val="hr"/>
              </w:rPr>
              <w:t>7 002 300,01</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42C7E603" w14:textId="77777777" w:rsidR="00CB4EBF" w:rsidRPr="001C431F" w:rsidRDefault="00CB4EBF" w:rsidP="0054762C">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lang w:val="hr"/>
              </w:rPr>
              <w:t>80 %</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tcPr>
          <w:p w14:paraId="09CFCC9F" w14:textId="77777777" w:rsidR="00CB4EBF" w:rsidRPr="001C431F" w:rsidRDefault="00CB4EBF" w:rsidP="0054762C">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lang w:val="hr"/>
              </w:rPr>
              <w:t>N.r.</w:t>
            </w:r>
          </w:p>
        </w:tc>
      </w:tr>
      <w:tr w:rsidR="00CB4EBF" w:rsidRPr="00A23750" w14:paraId="41A7BEF6" w14:textId="77777777" w:rsidTr="0054762C">
        <w:trPr>
          <w:trHeight w:val="475"/>
        </w:trPr>
        <w:tc>
          <w:tcPr>
            <w:tcW w:w="983" w:type="dxa"/>
            <w:tcBorders>
              <w:top w:val="nil"/>
              <w:left w:val="single" w:sz="8" w:space="0" w:color="auto"/>
              <w:bottom w:val="nil"/>
              <w:right w:val="single" w:sz="8" w:space="0" w:color="auto"/>
            </w:tcBorders>
            <w:shd w:val="clear" w:color="auto" w:fill="auto"/>
            <w:vAlign w:val="center"/>
            <w:hideMark/>
          </w:tcPr>
          <w:p w14:paraId="35B226A0" w14:textId="77777777" w:rsidR="00CB4EBF" w:rsidRPr="001C431F" w:rsidRDefault="00CB4EBF" w:rsidP="0054762C">
            <w:pPr>
              <w:spacing w:after="0" w:line="240" w:lineRule="auto"/>
              <w:jc w:val="both"/>
              <w:rPr>
                <w:rFonts w:cs="Times New Roman"/>
                <w:i/>
                <w:color w:val="000000"/>
                <w:sz w:val="20"/>
                <w:szCs w:val="20"/>
              </w:rPr>
            </w:pPr>
            <w:r>
              <w:rPr>
                <w:rFonts w:eastAsia="Times New Roman" w:cs="Times New Roman"/>
                <w:i/>
                <w:iCs/>
                <w:color w:val="000000"/>
                <w:sz w:val="20"/>
                <w:szCs w:val="20"/>
                <w:lang w:val="hr"/>
              </w:rPr>
              <w:t> </w:t>
            </w:r>
          </w:p>
        </w:tc>
        <w:tc>
          <w:tcPr>
            <w:tcW w:w="992" w:type="dxa"/>
            <w:tcBorders>
              <w:top w:val="nil"/>
              <w:left w:val="nil"/>
              <w:bottom w:val="nil"/>
              <w:right w:val="nil"/>
            </w:tcBorders>
            <w:shd w:val="clear" w:color="auto" w:fill="auto"/>
            <w:noWrap/>
            <w:vAlign w:val="center"/>
            <w:hideMark/>
          </w:tcPr>
          <w:p w14:paraId="0E809B86" w14:textId="77777777" w:rsidR="00CB4EBF" w:rsidRPr="001C431F" w:rsidRDefault="00CB4EBF" w:rsidP="0054762C">
            <w:pPr>
              <w:spacing w:after="0" w:line="240" w:lineRule="auto"/>
              <w:jc w:val="both"/>
              <w:rPr>
                <w:rFonts w:cs="Times New Roman"/>
                <w:i/>
                <w:color w:val="000000"/>
                <w:sz w:val="20"/>
                <w:szCs w:val="20"/>
              </w:rPr>
            </w:pPr>
          </w:p>
        </w:tc>
        <w:tc>
          <w:tcPr>
            <w:tcW w:w="1051" w:type="dxa"/>
            <w:vMerge w:val="restart"/>
            <w:tcBorders>
              <w:top w:val="nil"/>
              <w:left w:val="single" w:sz="8" w:space="0" w:color="auto"/>
              <w:bottom w:val="single" w:sz="8" w:space="0" w:color="000000"/>
              <w:right w:val="single" w:sz="8" w:space="0" w:color="auto"/>
            </w:tcBorders>
            <w:vAlign w:val="center"/>
            <w:hideMark/>
          </w:tcPr>
          <w:p w14:paraId="76DB1D85" w14:textId="77777777" w:rsidR="00CB4EBF" w:rsidRPr="001C431F" w:rsidRDefault="00CB4EBF" w:rsidP="0054762C">
            <w:pPr>
              <w:spacing w:after="0" w:line="240" w:lineRule="auto"/>
              <w:jc w:val="both"/>
              <w:rPr>
                <w:rFonts w:cs="Times New Roman"/>
                <w:i/>
                <w:color w:val="000000"/>
                <w:sz w:val="20"/>
                <w:szCs w:val="20"/>
              </w:rPr>
            </w:pPr>
          </w:p>
        </w:tc>
        <w:tc>
          <w:tcPr>
            <w:tcW w:w="1075" w:type="dxa"/>
            <w:vMerge w:val="restart"/>
            <w:tcBorders>
              <w:top w:val="nil"/>
              <w:left w:val="single" w:sz="8" w:space="0" w:color="auto"/>
              <w:bottom w:val="single" w:sz="8" w:space="0" w:color="000000"/>
              <w:right w:val="single" w:sz="8" w:space="0" w:color="auto"/>
            </w:tcBorders>
            <w:vAlign w:val="center"/>
            <w:hideMark/>
          </w:tcPr>
          <w:p w14:paraId="4F088036" w14:textId="77777777" w:rsidR="00CB4EBF" w:rsidRPr="001C431F" w:rsidRDefault="00CB4EBF" w:rsidP="0054762C">
            <w:pPr>
              <w:spacing w:after="0" w:line="240" w:lineRule="auto"/>
              <w:jc w:val="both"/>
              <w:rPr>
                <w:rFonts w:cs="Times New Roman"/>
                <w:i/>
                <w:color w:val="000000"/>
                <w:sz w:val="20"/>
                <w:szCs w:val="20"/>
              </w:rPr>
            </w:pPr>
          </w:p>
        </w:tc>
        <w:tc>
          <w:tcPr>
            <w:tcW w:w="1418" w:type="dxa"/>
            <w:vMerge w:val="restart"/>
            <w:tcBorders>
              <w:top w:val="nil"/>
              <w:left w:val="single" w:sz="8" w:space="0" w:color="auto"/>
              <w:bottom w:val="single" w:sz="8" w:space="0" w:color="000000"/>
              <w:right w:val="single" w:sz="8" w:space="0" w:color="auto"/>
            </w:tcBorders>
            <w:vAlign w:val="center"/>
          </w:tcPr>
          <w:p w14:paraId="142B6C10" w14:textId="77777777" w:rsidR="00CB4EBF" w:rsidRPr="001C431F" w:rsidRDefault="00CB4EBF" w:rsidP="0054762C">
            <w:pPr>
              <w:spacing w:after="0" w:line="240" w:lineRule="auto"/>
              <w:jc w:val="both"/>
              <w:rPr>
                <w:rFonts w:cs="Times New Roman"/>
                <w:i/>
                <w:color w:val="000000"/>
                <w:sz w:val="20"/>
                <w:szCs w:val="20"/>
              </w:rPr>
            </w:pPr>
          </w:p>
        </w:tc>
        <w:tc>
          <w:tcPr>
            <w:tcW w:w="1418" w:type="dxa"/>
            <w:vMerge w:val="restart"/>
            <w:tcBorders>
              <w:top w:val="nil"/>
              <w:left w:val="single" w:sz="8" w:space="0" w:color="auto"/>
              <w:bottom w:val="single" w:sz="8" w:space="0" w:color="000000"/>
              <w:right w:val="single" w:sz="8" w:space="0" w:color="auto"/>
            </w:tcBorders>
            <w:vAlign w:val="center"/>
          </w:tcPr>
          <w:p w14:paraId="60DD707C" w14:textId="77777777" w:rsidR="00CB4EBF" w:rsidRPr="001C431F" w:rsidRDefault="00CB4EBF" w:rsidP="0054762C">
            <w:pPr>
              <w:spacing w:after="0" w:line="240" w:lineRule="auto"/>
              <w:jc w:val="both"/>
              <w:rPr>
                <w:rFonts w:cs="Times New Roman"/>
                <w:i/>
                <w:color w:val="000000"/>
                <w:sz w:val="20"/>
                <w:szCs w:val="20"/>
              </w:rPr>
            </w:pPr>
          </w:p>
        </w:tc>
        <w:tc>
          <w:tcPr>
            <w:tcW w:w="1417" w:type="dxa"/>
            <w:vMerge w:val="restart"/>
            <w:tcBorders>
              <w:top w:val="nil"/>
              <w:left w:val="single" w:sz="8" w:space="0" w:color="auto"/>
              <w:bottom w:val="single" w:sz="8" w:space="0" w:color="000000"/>
              <w:right w:val="single" w:sz="8" w:space="0" w:color="auto"/>
            </w:tcBorders>
            <w:vAlign w:val="center"/>
          </w:tcPr>
          <w:p w14:paraId="2A313A9C" w14:textId="77777777" w:rsidR="00CB4EBF" w:rsidRPr="001C431F" w:rsidRDefault="00CB4EBF" w:rsidP="0054762C">
            <w:pPr>
              <w:spacing w:after="0" w:line="240" w:lineRule="auto"/>
              <w:jc w:val="both"/>
              <w:rPr>
                <w:rFonts w:cs="Times New Roman"/>
                <w:i/>
                <w:color w:val="000000"/>
                <w:sz w:val="20"/>
                <w:szCs w:val="20"/>
              </w:rPr>
            </w:pPr>
          </w:p>
        </w:tc>
        <w:tc>
          <w:tcPr>
            <w:tcW w:w="1418" w:type="dxa"/>
            <w:vMerge w:val="restart"/>
            <w:tcBorders>
              <w:top w:val="nil"/>
              <w:left w:val="single" w:sz="8" w:space="0" w:color="auto"/>
              <w:bottom w:val="single" w:sz="8" w:space="0" w:color="000000"/>
              <w:right w:val="single" w:sz="8" w:space="0" w:color="auto"/>
            </w:tcBorders>
            <w:vAlign w:val="center"/>
          </w:tcPr>
          <w:p w14:paraId="3DA24C49" w14:textId="77777777" w:rsidR="00CB4EBF" w:rsidRPr="001C431F" w:rsidRDefault="00CB4EBF" w:rsidP="0054762C">
            <w:pPr>
              <w:spacing w:after="0" w:line="240" w:lineRule="auto"/>
              <w:jc w:val="both"/>
              <w:rPr>
                <w:rFonts w:cs="Times New Roman"/>
                <w:i/>
                <w:color w:val="000000"/>
                <w:sz w:val="20"/>
                <w:szCs w:val="20"/>
              </w:rPr>
            </w:pPr>
          </w:p>
        </w:tc>
        <w:tc>
          <w:tcPr>
            <w:tcW w:w="1418" w:type="dxa"/>
            <w:vMerge w:val="restart"/>
            <w:tcBorders>
              <w:top w:val="nil"/>
              <w:left w:val="single" w:sz="8" w:space="0" w:color="auto"/>
              <w:bottom w:val="single" w:sz="8" w:space="0" w:color="000000"/>
              <w:right w:val="single" w:sz="8" w:space="0" w:color="auto"/>
            </w:tcBorders>
            <w:vAlign w:val="center"/>
          </w:tcPr>
          <w:p w14:paraId="16556FA7" w14:textId="77777777" w:rsidR="00CB4EBF" w:rsidRPr="001C431F" w:rsidRDefault="00CB4EBF" w:rsidP="0054762C">
            <w:pPr>
              <w:spacing w:after="0" w:line="240" w:lineRule="auto"/>
              <w:jc w:val="both"/>
              <w:rPr>
                <w:rFonts w:cs="Times New Roman"/>
                <w:i/>
                <w:color w:val="000000"/>
                <w:sz w:val="20"/>
                <w:szCs w:val="20"/>
              </w:rPr>
            </w:pPr>
          </w:p>
        </w:tc>
        <w:tc>
          <w:tcPr>
            <w:tcW w:w="1275" w:type="dxa"/>
            <w:vMerge w:val="restart"/>
            <w:tcBorders>
              <w:top w:val="nil"/>
              <w:left w:val="single" w:sz="8" w:space="0" w:color="auto"/>
              <w:bottom w:val="single" w:sz="8" w:space="0" w:color="000000"/>
              <w:right w:val="single" w:sz="8" w:space="0" w:color="auto"/>
            </w:tcBorders>
            <w:vAlign w:val="center"/>
          </w:tcPr>
          <w:p w14:paraId="66A9190E" w14:textId="77777777" w:rsidR="00CB4EBF" w:rsidRPr="001C431F" w:rsidRDefault="00CB4EBF" w:rsidP="0054762C">
            <w:pPr>
              <w:spacing w:after="0" w:line="240" w:lineRule="auto"/>
              <w:jc w:val="both"/>
              <w:rPr>
                <w:rFonts w:cs="Times New Roman"/>
                <w:i/>
                <w:color w:val="000000"/>
                <w:sz w:val="20"/>
                <w:szCs w:val="20"/>
              </w:rPr>
            </w:pPr>
          </w:p>
        </w:tc>
        <w:tc>
          <w:tcPr>
            <w:tcW w:w="1418" w:type="dxa"/>
            <w:vMerge w:val="restart"/>
            <w:tcBorders>
              <w:top w:val="nil"/>
              <w:left w:val="single" w:sz="8" w:space="0" w:color="auto"/>
              <w:bottom w:val="single" w:sz="8" w:space="0" w:color="000000"/>
              <w:right w:val="single" w:sz="8" w:space="0" w:color="auto"/>
            </w:tcBorders>
            <w:vAlign w:val="center"/>
          </w:tcPr>
          <w:p w14:paraId="0033218E" w14:textId="77777777" w:rsidR="00CB4EBF" w:rsidRPr="001C431F" w:rsidRDefault="00CB4EBF" w:rsidP="0054762C">
            <w:pPr>
              <w:spacing w:after="0" w:line="240" w:lineRule="auto"/>
              <w:jc w:val="both"/>
              <w:rPr>
                <w:rFonts w:cs="Times New Roman"/>
                <w:i/>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tcPr>
          <w:p w14:paraId="449AF48A" w14:textId="77777777" w:rsidR="00CB4EBF" w:rsidRPr="001C431F" w:rsidRDefault="00CB4EBF" w:rsidP="0054762C">
            <w:pPr>
              <w:spacing w:after="0" w:line="240" w:lineRule="auto"/>
              <w:jc w:val="center"/>
              <w:rPr>
                <w:rFonts w:eastAsia="Times New Roman" w:cs="Times New Roman"/>
                <w:i/>
                <w:iCs/>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tcPr>
          <w:p w14:paraId="07A43591" w14:textId="77777777" w:rsidR="00CB4EBF" w:rsidRPr="001C431F" w:rsidRDefault="00CB4EBF" w:rsidP="0054762C">
            <w:pPr>
              <w:spacing w:after="0" w:line="240" w:lineRule="auto"/>
              <w:jc w:val="both"/>
              <w:rPr>
                <w:rFonts w:eastAsia="Times New Roman" w:cs="Times New Roman"/>
                <w:i/>
                <w:iCs/>
                <w:color w:val="000000"/>
                <w:sz w:val="20"/>
                <w:szCs w:val="20"/>
              </w:rPr>
            </w:pPr>
          </w:p>
        </w:tc>
      </w:tr>
      <w:tr w:rsidR="00CB4EBF" w:rsidRPr="00A23750" w14:paraId="3C257F46" w14:textId="77777777" w:rsidTr="0054762C">
        <w:trPr>
          <w:trHeight w:val="300"/>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5B55C18D" w14:textId="77777777" w:rsidR="00CB4EBF" w:rsidRPr="001C431F" w:rsidRDefault="00CB4EBF" w:rsidP="0054762C">
            <w:pPr>
              <w:spacing w:after="0" w:line="240" w:lineRule="auto"/>
              <w:jc w:val="both"/>
              <w:rPr>
                <w:rFonts w:cs="Times New Roman"/>
                <w:i/>
                <w:color w:val="000000"/>
                <w:sz w:val="20"/>
                <w:szCs w:val="20"/>
              </w:rPr>
            </w:pPr>
            <w:r>
              <w:rPr>
                <w:rFonts w:eastAsia="Times New Roman" w:cs="Times New Roman"/>
                <w:i/>
                <w:iCs/>
                <w:color w:val="000000"/>
                <w:sz w:val="20"/>
                <w:szCs w:val="20"/>
                <w:lang w:val="hr"/>
              </w:rPr>
              <w:t> </w:t>
            </w:r>
          </w:p>
        </w:tc>
        <w:tc>
          <w:tcPr>
            <w:tcW w:w="992" w:type="dxa"/>
            <w:tcBorders>
              <w:top w:val="nil"/>
              <w:left w:val="nil"/>
              <w:bottom w:val="single" w:sz="8" w:space="0" w:color="auto"/>
              <w:right w:val="single" w:sz="8" w:space="0" w:color="auto"/>
            </w:tcBorders>
            <w:shd w:val="clear" w:color="auto" w:fill="auto"/>
            <w:vAlign w:val="center"/>
            <w:hideMark/>
          </w:tcPr>
          <w:p w14:paraId="03EF246E" w14:textId="77777777" w:rsidR="00CB4EBF" w:rsidRPr="001C431F" w:rsidRDefault="00CB4EBF" w:rsidP="0054762C">
            <w:pPr>
              <w:spacing w:after="0" w:line="240" w:lineRule="auto"/>
              <w:jc w:val="both"/>
              <w:rPr>
                <w:rFonts w:cs="Times New Roman"/>
                <w:color w:val="000000"/>
                <w:sz w:val="20"/>
                <w:szCs w:val="20"/>
              </w:rPr>
            </w:pPr>
            <w:r>
              <w:rPr>
                <w:rFonts w:eastAsia="Times New Roman" w:cs="Times New Roman"/>
                <w:color w:val="000000"/>
                <w:sz w:val="20"/>
                <w:szCs w:val="20"/>
                <w:lang w:val="hr"/>
              </w:rPr>
              <w:t> </w:t>
            </w:r>
          </w:p>
        </w:tc>
        <w:tc>
          <w:tcPr>
            <w:tcW w:w="1051" w:type="dxa"/>
            <w:vMerge/>
            <w:tcBorders>
              <w:top w:val="nil"/>
              <w:left w:val="single" w:sz="8" w:space="0" w:color="auto"/>
              <w:bottom w:val="single" w:sz="8" w:space="0" w:color="000000"/>
              <w:right w:val="single" w:sz="8" w:space="0" w:color="auto"/>
            </w:tcBorders>
            <w:vAlign w:val="center"/>
            <w:hideMark/>
          </w:tcPr>
          <w:p w14:paraId="08553A26" w14:textId="77777777" w:rsidR="00CB4EBF" w:rsidRPr="001C431F" w:rsidRDefault="00CB4EBF" w:rsidP="0054762C">
            <w:pPr>
              <w:spacing w:after="0" w:line="240" w:lineRule="auto"/>
              <w:jc w:val="both"/>
              <w:rPr>
                <w:rFonts w:cs="Times New Roman"/>
                <w:i/>
                <w:color w:val="000000"/>
                <w:sz w:val="20"/>
                <w:szCs w:val="20"/>
              </w:rPr>
            </w:pPr>
          </w:p>
        </w:tc>
        <w:tc>
          <w:tcPr>
            <w:tcW w:w="1075" w:type="dxa"/>
            <w:vMerge/>
            <w:tcBorders>
              <w:top w:val="nil"/>
              <w:left w:val="single" w:sz="8" w:space="0" w:color="auto"/>
              <w:bottom w:val="single" w:sz="8" w:space="0" w:color="000000"/>
              <w:right w:val="single" w:sz="8" w:space="0" w:color="auto"/>
            </w:tcBorders>
            <w:vAlign w:val="center"/>
            <w:hideMark/>
          </w:tcPr>
          <w:p w14:paraId="48A48165" w14:textId="77777777" w:rsidR="00CB4EBF" w:rsidRPr="001C431F" w:rsidRDefault="00CB4EBF" w:rsidP="0054762C">
            <w:pPr>
              <w:spacing w:after="0" w:line="240" w:lineRule="auto"/>
              <w:jc w:val="both"/>
              <w:rPr>
                <w:rFonts w:cs="Times New Roman"/>
                <w:i/>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tcPr>
          <w:p w14:paraId="6A04E55E" w14:textId="77777777" w:rsidR="00CB4EBF" w:rsidRPr="001C431F" w:rsidRDefault="00CB4EBF" w:rsidP="0054762C">
            <w:pPr>
              <w:spacing w:after="0" w:line="240" w:lineRule="auto"/>
              <w:jc w:val="both"/>
              <w:rPr>
                <w:rFonts w:cs="Times New Roman"/>
                <w:i/>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tcPr>
          <w:p w14:paraId="58E033A5" w14:textId="77777777" w:rsidR="00CB4EBF" w:rsidRPr="001C431F" w:rsidRDefault="00CB4EBF" w:rsidP="0054762C">
            <w:pPr>
              <w:spacing w:after="0" w:line="240" w:lineRule="auto"/>
              <w:jc w:val="both"/>
              <w:rPr>
                <w:rFonts w:cs="Times New Roman"/>
                <w:i/>
                <w:color w:val="000000"/>
                <w:sz w:val="20"/>
                <w:szCs w:val="20"/>
              </w:rPr>
            </w:pPr>
          </w:p>
        </w:tc>
        <w:tc>
          <w:tcPr>
            <w:tcW w:w="1417" w:type="dxa"/>
            <w:vMerge/>
            <w:tcBorders>
              <w:top w:val="nil"/>
              <w:left w:val="single" w:sz="8" w:space="0" w:color="auto"/>
              <w:bottom w:val="single" w:sz="8" w:space="0" w:color="000000"/>
              <w:right w:val="single" w:sz="8" w:space="0" w:color="auto"/>
            </w:tcBorders>
            <w:vAlign w:val="center"/>
          </w:tcPr>
          <w:p w14:paraId="2C2A1B62" w14:textId="77777777" w:rsidR="00CB4EBF" w:rsidRPr="001C431F" w:rsidRDefault="00CB4EBF" w:rsidP="0054762C">
            <w:pPr>
              <w:spacing w:after="0" w:line="240" w:lineRule="auto"/>
              <w:jc w:val="both"/>
              <w:rPr>
                <w:rFonts w:cs="Times New Roman"/>
                <w:i/>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tcPr>
          <w:p w14:paraId="66693B4B" w14:textId="77777777" w:rsidR="00CB4EBF" w:rsidRPr="001C431F" w:rsidRDefault="00CB4EBF" w:rsidP="0054762C">
            <w:pPr>
              <w:spacing w:after="0" w:line="240" w:lineRule="auto"/>
              <w:jc w:val="both"/>
              <w:rPr>
                <w:rFonts w:cs="Times New Roman"/>
                <w:i/>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tcPr>
          <w:p w14:paraId="6E148B07" w14:textId="77777777" w:rsidR="00CB4EBF" w:rsidRPr="001C431F" w:rsidRDefault="00CB4EBF" w:rsidP="0054762C">
            <w:pPr>
              <w:spacing w:after="0" w:line="240" w:lineRule="auto"/>
              <w:jc w:val="both"/>
              <w:rPr>
                <w:rFonts w:cs="Times New Roman"/>
                <w:i/>
                <w:color w:val="000000"/>
                <w:sz w:val="20"/>
                <w:szCs w:val="20"/>
              </w:rPr>
            </w:pPr>
          </w:p>
        </w:tc>
        <w:tc>
          <w:tcPr>
            <w:tcW w:w="1275" w:type="dxa"/>
            <w:vMerge/>
            <w:tcBorders>
              <w:top w:val="nil"/>
              <w:left w:val="single" w:sz="8" w:space="0" w:color="auto"/>
              <w:bottom w:val="single" w:sz="8" w:space="0" w:color="000000"/>
              <w:right w:val="single" w:sz="8" w:space="0" w:color="auto"/>
            </w:tcBorders>
            <w:vAlign w:val="center"/>
          </w:tcPr>
          <w:p w14:paraId="25268321" w14:textId="77777777" w:rsidR="00CB4EBF" w:rsidRPr="001C431F" w:rsidRDefault="00CB4EBF" w:rsidP="0054762C">
            <w:pPr>
              <w:spacing w:after="0" w:line="240" w:lineRule="auto"/>
              <w:jc w:val="both"/>
              <w:rPr>
                <w:rFonts w:cs="Times New Roman"/>
                <w:i/>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tcPr>
          <w:p w14:paraId="51815EEE" w14:textId="77777777" w:rsidR="00CB4EBF" w:rsidRPr="001C431F" w:rsidRDefault="00CB4EBF" w:rsidP="0054762C">
            <w:pPr>
              <w:spacing w:after="0" w:line="240" w:lineRule="auto"/>
              <w:jc w:val="both"/>
              <w:rPr>
                <w:rFonts w:cs="Times New Roman"/>
                <w:i/>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tcPr>
          <w:p w14:paraId="6B23B769" w14:textId="77777777" w:rsidR="00CB4EBF" w:rsidRPr="001C431F" w:rsidRDefault="00CB4EBF" w:rsidP="0054762C">
            <w:pPr>
              <w:spacing w:after="0" w:line="240" w:lineRule="auto"/>
              <w:jc w:val="center"/>
              <w:rPr>
                <w:rFonts w:eastAsia="Times New Roman" w:cs="Times New Roman"/>
                <w:i/>
                <w:iCs/>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tcPr>
          <w:p w14:paraId="54402703" w14:textId="77777777" w:rsidR="00CB4EBF" w:rsidRPr="001C431F" w:rsidRDefault="00CB4EBF" w:rsidP="0054762C">
            <w:pPr>
              <w:spacing w:after="0" w:line="240" w:lineRule="auto"/>
              <w:jc w:val="both"/>
              <w:rPr>
                <w:rFonts w:eastAsia="Times New Roman" w:cs="Times New Roman"/>
                <w:i/>
                <w:iCs/>
                <w:color w:val="000000"/>
                <w:sz w:val="20"/>
                <w:szCs w:val="20"/>
              </w:rPr>
            </w:pPr>
          </w:p>
        </w:tc>
      </w:tr>
      <w:tr w:rsidR="00CB4EBF" w:rsidRPr="00A23750" w14:paraId="1118364B" w14:textId="77777777" w:rsidTr="0054762C">
        <w:trPr>
          <w:trHeight w:val="430"/>
        </w:trPr>
        <w:tc>
          <w:tcPr>
            <w:tcW w:w="983" w:type="dxa"/>
            <w:tcBorders>
              <w:top w:val="nil"/>
              <w:left w:val="single" w:sz="8" w:space="0" w:color="auto"/>
              <w:bottom w:val="single" w:sz="8" w:space="0" w:color="auto"/>
              <w:right w:val="single" w:sz="8" w:space="0" w:color="auto"/>
            </w:tcBorders>
            <w:shd w:val="pct25" w:color="000000" w:fill="BFBFBF"/>
            <w:vAlign w:val="center"/>
            <w:hideMark/>
          </w:tcPr>
          <w:p w14:paraId="05906A76" w14:textId="77777777" w:rsidR="00CB4EBF" w:rsidRPr="001C431F" w:rsidRDefault="00CB4EBF" w:rsidP="0054762C">
            <w:pPr>
              <w:spacing w:after="0" w:line="240" w:lineRule="auto"/>
              <w:jc w:val="both"/>
              <w:rPr>
                <w:rFonts w:cs="Times New Roman"/>
                <w:b/>
                <w:i/>
                <w:color w:val="000000"/>
                <w:sz w:val="20"/>
                <w:szCs w:val="20"/>
              </w:rPr>
            </w:pPr>
            <w:r>
              <w:rPr>
                <w:rFonts w:eastAsia="Times New Roman" w:cs="Times New Roman"/>
                <w:b/>
                <w:bCs/>
                <w:i/>
                <w:iCs/>
                <w:color w:val="000000"/>
                <w:sz w:val="20"/>
                <w:szCs w:val="20"/>
                <w:lang w:val="hr"/>
              </w:rPr>
              <w:t> </w:t>
            </w:r>
          </w:p>
        </w:tc>
        <w:tc>
          <w:tcPr>
            <w:tcW w:w="992" w:type="dxa"/>
            <w:tcBorders>
              <w:top w:val="nil"/>
              <w:left w:val="nil"/>
              <w:bottom w:val="single" w:sz="8" w:space="0" w:color="auto"/>
              <w:right w:val="single" w:sz="8" w:space="0" w:color="auto"/>
            </w:tcBorders>
            <w:shd w:val="clear" w:color="auto" w:fill="auto"/>
            <w:vAlign w:val="center"/>
            <w:hideMark/>
          </w:tcPr>
          <w:p w14:paraId="1050F607" w14:textId="77777777" w:rsidR="00CB4EBF" w:rsidRPr="001C431F" w:rsidRDefault="00CB4EBF" w:rsidP="0054762C">
            <w:pPr>
              <w:spacing w:after="0" w:line="240" w:lineRule="auto"/>
              <w:jc w:val="both"/>
              <w:rPr>
                <w:rFonts w:cs="Times New Roman"/>
                <w:b/>
                <w:i/>
                <w:color w:val="000000"/>
                <w:sz w:val="20"/>
                <w:szCs w:val="20"/>
              </w:rPr>
            </w:pPr>
            <w:r>
              <w:rPr>
                <w:rFonts w:cs="Times New Roman"/>
                <w:b/>
                <w:bCs/>
                <w:i/>
                <w:iCs/>
                <w:color w:val="000000"/>
                <w:sz w:val="20"/>
                <w:szCs w:val="20"/>
                <w:lang w:val="hr"/>
              </w:rPr>
              <w:t>Ukupno</w:t>
            </w:r>
          </w:p>
        </w:tc>
        <w:tc>
          <w:tcPr>
            <w:tcW w:w="1051" w:type="dxa"/>
            <w:tcBorders>
              <w:top w:val="nil"/>
              <w:left w:val="nil"/>
              <w:bottom w:val="single" w:sz="8" w:space="0" w:color="auto"/>
              <w:right w:val="single" w:sz="8" w:space="0" w:color="auto"/>
            </w:tcBorders>
            <w:shd w:val="clear" w:color="auto" w:fill="auto"/>
            <w:vAlign w:val="center"/>
            <w:hideMark/>
          </w:tcPr>
          <w:p w14:paraId="0CFB3720" w14:textId="77777777" w:rsidR="00CB4EBF" w:rsidRPr="001C431F" w:rsidRDefault="00CB4EBF" w:rsidP="0054762C">
            <w:pPr>
              <w:spacing w:after="0" w:line="240" w:lineRule="auto"/>
              <w:jc w:val="both"/>
              <w:rPr>
                <w:rFonts w:cs="Times New Roman"/>
                <w:i/>
                <w:color w:val="000000"/>
                <w:sz w:val="20"/>
                <w:szCs w:val="20"/>
              </w:rPr>
            </w:pPr>
            <w:r>
              <w:rPr>
                <w:rFonts w:cs="Times New Roman"/>
                <w:i/>
                <w:iCs/>
                <w:color w:val="000000"/>
                <w:sz w:val="20"/>
                <w:szCs w:val="20"/>
                <w:lang w:val="hr"/>
              </w:rPr>
              <w:t>Svi fondovi</w:t>
            </w:r>
          </w:p>
        </w:tc>
        <w:tc>
          <w:tcPr>
            <w:tcW w:w="1075" w:type="dxa"/>
            <w:tcBorders>
              <w:top w:val="nil"/>
              <w:left w:val="nil"/>
              <w:bottom w:val="single" w:sz="8" w:space="0" w:color="auto"/>
              <w:right w:val="single" w:sz="8" w:space="0" w:color="auto"/>
            </w:tcBorders>
            <w:shd w:val="clear" w:color="auto" w:fill="auto"/>
            <w:vAlign w:val="center"/>
            <w:hideMark/>
          </w:tcPr>
          <w:p w14:paraId="1C7E6C2B" w14:textId="77777777" w:rsidR="00CB4EBF" w:rsidRPr="001C431F" w:rsidRDefault="00CB4EBF" w:rsidP="0054762C">
            <w:pPr>
              <w:spacing w:after="0" w:line="240" w:lineRule="auto"/>
              <w:jc w:val="both"/>
              <w:rPr>
                <w:rFonts w:cs="Times New Roman"/>
                <w:i/>
                <w:color w:val="000000"/>
                <w:sz w:val="20"/>
                <w:szCs w:val="20"/>
              </w:rPr>
            </w:pPr>
            <w:r>
              <w:rPr>
                <w:rFonts w:eastAsia="Times New Roman" w:cs="Times New Roman"/>
                <w:i/>
                <w:iCs/>
                <w:color w:val="000000"/>
                <w:sz w:val="20"/>
                <w:szCs w:val="20"/>
                <w:lang w:val="hr"/>
              </w:rPr>
              <w:t>Ukupni prihvatljivi troškovi</w:t>
            </w:r>
          </w:p>
        </w:tc>
        <w:tc>
          <w:tcPr>
            <w:tcW w:w="1418" w:type="dxa"/>
            <w:tcBorders>
              <w:top w:val="nil"/>
              <w:left w:val="nil"/>
              <w:bottom w:val="single" w:sz="8" w:space="0" w:color="auto"/>
              <w:right w:val="single" w:sz="8" w:space="0" w:color="auto"/>
            </w:tcBorders>
            <w:shd w:val="clear" w:color="auto" w:fill="auto"/>
            <w:vAlign w:val="center"/>
          </w:tcPr>
          <w:p w14:paraId="3908612C" w14:textId="77777777" w:rsidR="00CB4EBF" w:rsidRPr="001C431F" w:rsidRDefault="00CB4EBF" w:rsidP="0054762C">
            <w:pPr>
              <w:spacing w:after="0" w:line="240" w:lineRule="auto"/>
              <w:jc w:val="both"/>
              <w:rPr>
                <w:rFonts w:cs="Times New Roman"/>
                <w:i/>
                <w:color w:val="000000"/>
                <w:sz w:val="20"/>
                <w:szCs w:val="20"/>
              </w:rPr>
            </w:pPr>
            <w:r>
              <w:rPr>
                <w:rFonts w:cs="Times New Roman"/>
                <w:i/>
                <w:iCs/>
                <w:color w:val="000000"/>
                <w:sz w:val="20"/>
                <w:szCs w:val="20"/>
                <w:lang w:val="hr"/>
              </w:rPr>
              <w:t>70 034 030,00</w:t>
            </w:r>
          </w:p>
        </w:tc>
        <w:tc>
          <w:tcPr>
            <w:tcW w:w="1418" w:type="dxa"/>
            <w:tcBorders>
              <w:top w:val="nil"/>
              <w:left w:val="nil"/>
              <w:bottom w:val="single" w:sz="8" w:space="0" w:color="auto"/>
              <w:right w:val="single" w:sz="8" w:space="0" w:color="auto"/>
            </w:tcBorders>
            <w:shd w:val="clear" w:color="000000" w:fill="FFFFFF"/>
            <w:vAlign w:val="center"/>
          </w:tcPr>
          <w:p w14:paraId="1184ADA1" w14:textId="77777777" w:rsidR="00CB4EBF" w:rsidRPr="001C431F" w:rsidRDefault="00CB4EBF" w:rsidP="0054762C">
            <w:pPr>
              <w:spacing w:after="0" w:line="240" w:lineRule="auto"/>
              <w:jc w:val="both"/>
              <w:rPr>
                <w:rFonts w:cs="Times New Roman"/>
                <w:i/>
                <w:color w:val="000000"/>
                <w:sz w:val="20"/>
                <w:szCs w:val="20"/>
              </w:rPr>
            </w:pPr>
            <w:r>
              <w:rPr>
                <w:rFonts w:cs="Times New Roman"/>
                <w:i/>
                <w:iCs/>
                <w:color w:val="000000"/>
                <w:sz w:val="20"/>
                <w:szCs w:val="20"/>
                <w:lang w:val="hr"/>
              </w:rPr>
              <w:t>65 452 364,49</w:t>
            </w:r>
          </w:p>
        </w:tc>
        <w:tc>
          <w:tcPr>
            <w:tcW w:w="1417" w:type="dxa"/>
            <w:tcBorders>
              <w:top w:val="nil"/>
              <w:left w:val="nil"/>
              <w:bottom w:val="single" w:sz="8" w:space="0" w:color="auto"/>
              <w:right w:val="single" w:sz="8" w:space="0" w:color="auto"/>
            </w:tcBorders>
            <w:shd w:val="clear" w:color="000000" w:fill="FFFFFF"/>
            <w:vAlign w:val="center"/>
          </w:tcPr>
          <w:p w14:paraId="2A05A865" w14:textId="77777777" w:rsidR="00CB4EBF" w:rsidRPr="001C431F" w:rsidRDefault="00CB4EBF" w:rsidP="0054762C">
            <w:pPr>
              <w:spacing w:after="0" w:line="240" w:lineRule="auto"/>
              <w:jc w:val="both"/>
              <w:rPr>
                <w:rFonts w:cs="Times New Roman"/>
                <w:i/>
                <w:color w:val="000000"/>
                <w:sz w:val="20"/>
                <w:szCs w:val="20"/>
              </w:rPr>
            </w:pPr>
            <w:r>
              <w:rPr>
                <w:rFonts w:cs="Times New Roman"/>
                <w:i/>
                <w:iCs/>
                <w:color w:val="000000"/>
                <w:sz w:val="20"/>
                <w:szCs w:val="20"/>
                <w:lang w:val="hr"/>
              </w:rPr>
              <w:t>4 581 665,51</w:t>
            </w:r>
          </w:p>
        </w:tc>
        <w:tc>
          <w:tcPr>
            <w:tcW w:w="1418" w:type="dxa"/>
            <w:tcBorders>
              <w:top w:val="nil"/>
              <w:left w:val="nil"/>
              <w:bottom w:val="single" w:sz="8" w:space="0" w:color="auto"/>
              <w:right w:val="single" w:sz="8" w:space="0" w:color="auto"/>
            </w:tcBorders>
            <w:shd w:val="clear" w:color="auto" w:fill="auto"/>
            <w:vAlign w:val="center"/>
          </w:tcPr>
          <w:p w14:paraId="3619F94B" w14:textId="77777777" w:rsidR="00CB4EBF" w:rsidRPr="001C431F" w:rsidRDefault="00CB4EBF" w:rsidP="0054762C">
            <w:pPr>
              <w:spacing w:after="0" w:line="240" w:lineRule="auto"/>
              <w:jc w:val="both"/>
              <w:rPr>
                <w:rFonts w:cs="Times New Roman"/>
                <w:i/>
                <w:color w:val="000000"/>
                <w:sz w:val="20"/>
                <w:szCs w:val="20"/>
              </w:rPr>
            </w:pPr>
            <w:r>
              <w:rPr>
                <w:rFonts w:cs="Times New Roman"/>
                <w:i/>
                <w:iCs/>
                <w:color w:val="000000"/>
                <w:sz w:val="20"/>
                <w:szCs w:val="20"/>
                <w:lang w:val="hr"/>
              </w:rPr>
              <w:t>17 508 507,51</w:t>
            </w:r>
          </w:p>
        </w:tc>
        <w:tc>
          <w:tcPr>
            <w:tcW w:w="1418" w:type="dxa"/>
            <w:tcBorders>
              <w:top w:val="nil"/>
              <w:left w:val="nil"/>
              <w:bottom w:val="single" w:sz="8" w:space="0" w:color="auto"/>
              <w:right w:val="single" w:sz="8" w:space="0" w:color="auto"/>
            </w:tcBorders>
            <w:shd w:val="clear" w:color="auto" w:fill="auto"/>
            <w:vAlign w:val="center"/>
          </w:tcPr>
          <w:p w14:paraId="1D7D7A7B" w14:textId="77777777" w:rsidR="00CB4EBF" w:rsidRPr="001C431F" w:rsidRDefault="00CB4EBF" w:rsidP="0054762C">
            <w:pPr>
              <w:spacing w:after="0" w:line="240" w:lineRule="auto"/>
              <w:jc w:val="both"/>
              <w:rPr>
                <w:rFonts w:cs="Times New Roman"/>
                <w:i/>
                <w:color w:val="000000"/>
                <w:sz w:val="20"/>
                <w:szCs w:val="20"/>
              </w:rPr>
            </w:pPr>
            <w:r>
              <w:rPr>
                <w:rFonts w:cs="Times New Roman"/>
                <w:i/>
                <w:iCs/>
                <w:color w:val="000000"/>
                <w:sz w:val="20"/>
                <w:szCs w:val="20"/>
                <w:lang w:val="hr"/>
              </w:rPr>
              <w:t>15 757 656,76</w:t>
            </w:r>
          </w:p>
        </w:tc>
        <w:tc>
          <w:tcPr>
            <w:tcW w:w="1275" w:type="dxa"/>
            <w:tcBorders>
              <w:top w:val="nil"/>
              <w:left w:val="nil"/>
              <w:bottom w:val="single" w:sz="8" w:space="0" w:color="auto"/>
              <w:right w:val="single" w:sz="8" w:space="0" w:color="auto"/>
            </w:tcBorders>
            <w:shd w:val="clear" w:color="auto" w:fill="auto"/>
            <w:vAlign w:val="center"/>
          </w:tcPr>
          <w:p w14:paraId="71D0780E" w14:textId="77777777" w:rsidR="00CB4EBF" w:rsidRPr="001C431F" w:rsidRDefault="00CB4EBF" w:rsidP="0054762C">
            <w:pPr>
              <w:spacing w:after="0" w:line="240" w:lineRule="auto"/>
              <w:jc w:val="both"/>
              <w:rPr>
                <w:rFonts w:cs="Times New Roman"/>
                <w:i/>
                <w:color w:val="000000"/>
                <w:sz w:val="20"/>
                <w:szCs w:val="20"/>
              </w:rPr>
            </w:pPr>
            <w:r>
              <w:rPr>
                <w:rFonts w:cs="Times New Roman"/>
                <w:i/>
                <w:iCs/>
                <w:color w:val="000000"/>
                <w:sz w:val="20"/>
                <w:szCs w:val="20"/>
                <w:lang w:val="hr"/>
              </w:rPr>
              <w:t>1 750 850,75</w:t>
            </w:r>
          </w:p>
        </w:tc>
        <w:tc>
          <w:tcPr>
            <w:tcW w:w="1418" w:type="dxa"/>
            <w:tcBorders>
              <w:top w:val="nil"/>
              <w:left w:val="nil"/>
              <w:bottom w:val="single" w:sz="8" w:space="0" w:color="auto"/>
              <w:right w:val="single" w:sz="8" w:space="0" w:color="auto"/>
            </w:tcBorders>
            <w:shd w:val="clear" w:color="auto" w:fill="auto"/>
            <w:vAlign w:val="center"/>
          </w:tcPr>
          <w:p w14:paraId="659A93D7" w14:textId="77777777" w:rsidR="00CB4EBF" w:rsidRPr="001C431F" w:rsidRDefault="00CB4EBF" w:rsidP="0054762C">
            <w:pPr>
              <w:spacing w:after="0" w:line="240" w:lineRule="auto"/>
              <w:jc w:val="both"/>
              <w:rPr>
                <w:rFonts w:cs="Times New Roman"/>
                <w:i/>
                <w:color w:val="000000"/>
                <w:sz w:val="20"/>
                <w:szCs w:val="20"/>
              </w:rPr>
            </w:pPr>
            <w:r>
              <w:rPr>
                <w:rFonts w:cs="Times New Roman"/>
                <w:i/>
                <w:iCs/>
                <w:color w:val="000000"/>
                <w:sz w:val="20"/>
                <w:szCs w:val="20"/>
                <w:lang w:val="hr"/>
              </w:rPr>
              <w:t>87 542 537,51</w:t>
            </w:r>
          </w:p>
        </w:tc>
        <w:tc>
          <w:tcPr>
            <w:tcW w:w="708" w:type="dxa"/>
            <w:tcBorders>
              <w:top w:val="nil"/>
              <w:left w:val="nil"/>
              <w:bottom w:val="single" w:sz="8" w:space="0" w:color="auto"/>
              <w:right w:val="single" w:sz="8" w:space="0" w:color="auto"/>
            </w:tcBorders>
            <w:shd w:val="clear" w:color="auto" w:fill="auto"/>
            <w:vAlign w:val="center"/>
          </w:tcPr>
          <w:p w14:paraId="76268887" w14:textId="77777777" w:rsidR="00CB4EBF" w:rsidRPr="001C431F" w:rsidRDefault="00CB4EBF" w:rsidP="0054762C">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lang w:val="hr"/>
              </w:rPr>
              <w:t>80 %</w:t>
            </w:r>
          </w:p>
        </w:tc>
        <w:tc>
          <w:tcPr>
            <w:tcW w:w="850" w:type="dxa"/>
            <w:tcBorders>
              <w:top w:val="nil"/>
              <w:left w:val="nil"/>
              <w:bottom w:val="single" w:sz="8" w:space="0" w:color="auto"/>
              <w:right w:val="single" w:sz="8" w:space="0" w:color="auto"/>
            </w:tcBorders>
            <w:shd w:val="clear" w:color="auto" w:fill="auto"/>
            <w:vAlign w:val="center"/>
          </w:tcPr>
          <w:p w14:paraId="3F5092B0" w14:textId="77777777" w:rsidR="00CB4EBF" w:rsidRPr="001C431F" w:rsidRDefault="00CB4EBF" w:rsidP="0054762C">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lang w:val="hr"/>
              </w:rPr>
              <w:t>N.r.</w:t>
            </w:r>
          </w:p>
        </w:tc>
      </w:tr>
    </w:tbl>
    <w:p w14:paraId="68E7923E" w14:textId="77777777" w:rsidR="00CB4EBF" w:rsidRPr="001C431F" w:rsidRDefault="00CB4EBF" w:rsidP="00CB4EBF">
      <w:pPr>
        <w:spacing w:after="0" w:line="240" w:lineRule="auto"/>
        <w:jc w:val="both"/>
        <w:rPr>
          <w:rFonts w:cs="Times New Roman"/>
          <w:i/>
          <w:noProof/>
          <w:sz w:val="20"/>
          <w:szCs w:val="20"/>
        </w:rPr>
        <w:sectPr w:rsidR="00CB4EBF" w:rsidRPr="001C431F" w:rsidSect="0049492F">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1418" w:right="1418" w:bottom="1418" w:left="1418" w:header="708" w:footer="708" w:gutter="0"/>
          <w:cols w:space="708"/>
          <w:docGrid w:linePitch="360"/>
        </w:sectPr>
      </w:pPr>
    </w:p>
    <w:p w14:paraId="16E23ACE" w14:textId="77777777" w:rsidR="00CB4EBF" w:rsidRPr="001C431F" w:rsidRDefault="00CB4EBF" w:rsidP="00CB4EBF">
      <w:pPr>
        <w:numPr>
          <w:ilvl w:val="0"/>
          <w:numId w:val="31"/>
        </w:numPr>
        <w:spacing w:after="0" w:line="240" w:lineRule="auto"/>
        <w:ind w:left="709" w:hanging="709"/>
        <w:jc w:val="both"/>
        <w:rPr>
          <w:rFonts w:eastAsia="Times New Roman" w:cs="Times New Roman"/>
          <w:b/>
          <w:iCs/>
          <w:noProof/>
          <w:sz w:val="20"/>
          <w:szCs w:val="20"/>
        </w:rPr>
      </w:pPr>
      <w:r>
        <w:rPr>
          <w:rFonts w:eastAsia="Times New Roman" w:cs="Times New Roman"/>
          <w:b/>
          <w:bCs/>
          <w:noProof/>
          <w:sz w:val="20"/>
          <w:szCs w:val="20"/>
          <w:lang w:val="hr"/>
        </w:rPr>
        <w:lastRenderedPageBreak/>
        <w:t>Djelovanje poduzeto kako bi se relevantni programski partneri uključili u pripremu programa Interrega te uloga tih programskih partnera u provedbi, praćenju i evaluaciji</w:t>
      </w:r>
    </w:p>
    <w:p w14:paraId="7FF6A1FC" w14:textId="77777777" w:rsidR="00CB4EBF" w:rsidRPr="001C431F" w:rsidRDefault="00CB4EBF" w:rsidP="00CB4EBF">
      <w:pPr>
        <w:spacing w:after="0" w:line="240" w:lineRule="auto"/>
        <w:ind w:firstLine="709"/>
        <w:jc w:val="both"/>
        <w:rPr>
          <w:rFonts w:eastAsia="Times New Roman" w:cs="Times New Roman"/>
          <w:b/>
          <w:i/>
          <w:iCs/>
          <w:noProof/>
          <w:sz w:val="20"/>
          <w:szCs w:val="20"/>
        </w:rPr>
      </w:pPr>
      <w:r>
        <w:rPr>
          <w:rFonts w:eastAsia="Times New Roman" w:cs="Times New Roman"/>
          <w:i/>
          <w:iCs/>
          <w:noProof/>
          <w:color w:val="000000"/>
          <w:sz w:val="20"/>
          <w:szCs w:val="20"/>
          <w:lang w:val="hr"/>
        </w:rPr>
        <w:t>Upućivanje: članak 17. stavak 3. točka (g)</w:t>
      </w:r>
    </w:p>
    <w:tbl>
      <w:tblPr>
        <w:tblStyle w:val="TableGrid"/>
        <w:tblW w:w="9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4"/>
      </w:tblGrid>
      <w:tr w:rsidR="00CB4EBF" w:rsidRPr="00A23750" w14:paraId="1A9289B4" w14:textId="77777777" w:rsidTr="0054762C">
        <w:trPr>
          <w:trHeight w:val="489"/>
        </w:trPr>
        <w:tc>
          <w:tcPr>
            <w:tcW w:w="9394" w:type="dxa"/>
          </w:tcPr>
          <w:p w14:paraId="33B146BF" w14:textId="77777777" w:rsidR="00CB4EBF" w:rsidRPr="001C431F" w:rsidRDefault="00CB4EBF" w:rsidP="0054762C">
            <w:pPr>
              <w:pStyle w:val="BodyText"/>
              <w:ind w:left="170" w:right="135"/>
              <w:jc w:val="both"/>
              <w:rPr>
                <w:rFonts w:ascii="Times New Roman" w:hAnsi="Times New Roman" w:cs="Times New Roman"/>
                <w:sz w:val="20"/>
                <w:szCs w:val="20"/>
              </w:rPr>
            </w:pPr>
          </w:p>
          <w:p w14:paraId="32F3CD27" w14:textId="77777777" w:rsidR="00CB4EBF" w:rsidRPr="001C431F" w:rsidRDefault="00CB4EBF" w:rsidP="0054762C">
            <w:pPr>
              <w:pStyle w:val="BodyText"/>
              <w:ind w:left="170" w:right="135"/>
              <w:jc w:val="both"/>
              <w:rPr>
                <w:rFonts w:ascii="Times New Roman" w:hAnsi="Times New Roman" w:cs="Times New Roman"/>
                <w:sz w:val="20"/>
                <w:szCs w:val="20"/>
              </w:rPr>
            </w:pPr>
            <w:r>
              <w:rPr>
                <w:rFonts w:ascii="Times New Roman" w:hAnsi="Times New Roman" w:cs="Times New Roman"/>
                <w:sz w:val="20"/>
                <w:szCs w:val="20"/>
                <w:lang w:val="hr"/>
              </w:rPr>
              <w:t xml:space="preserve">Uključenost je partnera u skladu s načelom višerazinskog upravljanja bila središnja komponenta tijekom programiranja koju je koordinirao Programski odbor (PO) osnovan u siječnju 2020. On se sastoji od relevantnih ministarstava i organizacija na regionalnoj/županijskoj/lokalnoj razini iz dvije države članice.  </w:t>
            </w:r>
          </w:p>
          <w:p w14:paraId="4E121ABF" w14:textId="77777777" w:rsidR="00CB4EBF" w:rsidRPr="001C431F" w:rsidRDefault="00CB4EBF" w:rsidP="0054762C">
            <w:pPr>
              <w:pStyle w:val="BodyText"/>
              <w:ind w:left="170" w:right="135"/>
              <w:jc w:val="both"/>
              <w:rPr>
                <w:rFonts w:ascii="Times New Roman" w:hAnsi="Times New Roman" w:cs="Times New Roman"/>
                <w:sz w:val="20"/>
                <w:szCs w:val="20"/>
              </w:rPr>
            </w:pPr>
            <w:r>
              <w:rPr>
                <w:rFonts w:ascii="Times New Roman" w:hAnsi="Times New Roman" w:cs="Times New Roman"/>
                <w:sz w:val="20"/>
                <w:szCs w:val="20"/>
                <w:lang w:val="hr"/>
              </w:rPr>
              <w:t>Iz Hrvatske: Varaždinska županija, Koprivničko-križevačka županija, Međimurska županija, Bjelovarsko-bilogorska županija, Virovitičko-podravska županija, Požeško-slavonska županija, Osječko-baranjska županija, Vukovarsko-srijemska županija, Ministarstvo regionalnog razvoja i fondova Europske unije (koje zastupaju Uprave za regionalni razvoj i strateško planiranje), Ministarstvo vanjskih i europskih poslova, Ministarstvo gospodarstva i održivog razvoja, Ministarstvo znanosti i obrazovanja, Ministarstvo turizma i sporta, Energetski institut Hrvoje Požar, Udruga za zaštitu prirode i okoliša Zeleni Osijek, Hrvatska udruga poslodavaca, Hrvatska gospodarska komora.</w:t>
            </w:r>
          </w:p>
          <w:p w14:paraId="2798F977" w14:textId="77777777" w:rsidR="00CB4EBF" w:rsidRPr="001C431F" w:rsidRDefault="00CB4EBF" w:rsidP="0054762C">
            <w:pPr>
              <w:pStyle w:val="BodyText"/>
              <w:ind w:left="170" w:right="135"/>
              <w:jc w:val="both"/>
              <w:rPr>
                <w:rFonts w:ascii="Times New Roman" w:hAnsi="Times New Roman" w:cs="Times New Roman"/>
                <w:sz w:val="20"/>
                <w:szCs w:val="20"/>
              </w:rPr>
            </w:pPr>
            <w:r>
              <w:rPr>
                <w:rFonts w:ascii="Times New Roman" w:hAnsi="Times New Roman" w:cs="Times New Roman"/>
                <w:sz w:val="20"/>
                <w:szCs w:val="20"/>
                <w:lang w:val="hr"/>
              </w:rPr>
              <w:t xml:space="preserve">Iz Mađarske: Baranjska županija, </w:t>
            </w:r>
            <w:proofErr w:type="spellStart"/>
            <w:r>
              <w:rPr>
                <w:rFonts w:ascii="Times New Roman" w:hAnsi="Times New Roman" w:cs="Times New Roman"/>
                <w:sz w:val="20"/>
                <w:szCs w:val="20"/>
                <w:lang w:val="hr"/>
              </w:rPr>
              <w:t>Šomođska</w:t>
            </w:r>
            <w:proofErr w:type="spellEnd"/>
            <w:r>
              <w:rPr>
                <w:rFonts w:ascii="Times New Roman" w:hAnsi="Times New Roman" w:cs="Times New Roman"/>
                <w:sz w:val="20"/>
                <w:szCs w:val="20"/>
                <w:lang w:val="hr"/>
              </w:rPr>
              <w:t xml:space="preserve"> županija i </w:t>
            </w:r>
            <w:proofErr w:type="spellStart"/>
            <w:r>
              <w:rPr>
                <w:rFonts w:ascii="Times New Roman" w:hAnsi="Times New Roman" w:cs="Times New Roman"/>
                <w:sz w:val="20"/>
                <w:szCs w:val="20"/>
                <w:lang w:val="hr"/>
              </w:rPr>
              <w:t>Zalska</w:t>
            </w:r>
            <w:proofErr w:type="spellEnd"/>
            <w:r>
              <w:rPr>
                <w:rFonts w:ascii="Times New Roman" w:hAnsi="Times New Roman" w:cs="Times New Roman"/>
                <w:sz w:val="20"/>
                <w:szCs w:val="20"/>
                <w:lang w:val="hr"/>
              </w:rPr>
              <w:t xml:space="preserve"> županija, Ministarstvo vanjskih poslova i trgovine, Ministarstvo financija, Ured premijera, Programski ured </w:t>
            </w:r>
            <w:proofErr w:type="spellStart"/>
            <w:r>
              <w:rPr>
                <w:rFonts w:ascii="Times New Roman" w:hAnsi="Times New Roman" w:cs="Times New Roman"/>
                <w:sz w:val="20"/>
                <w:szCs w:val="20"/>
                <w:lang w:val="hr"/>
              </w:rPr>
              <w:t>Széchenyi</w:t>
            </w:r>
            <w:proofErr w:type="spellEnd"/>
            <w:r>
              <w:rPr>
                <w:rFonts w:ascii="Times New Roman" w:hAnsi="Times New Roman" w:cs="Times New Roman"/>
                <w:sz w:val="20"/>
                <w:szCs w:val="20"/>
                <w:lang w:val="hr"/>
              </w:rPr>
              <w:t>, Dravska federacija, Tajništvo Dunavske strategije, Mađarski biciklistički savez, Mađarska dobrotvorna služba Malteškog reda.</w:t>
            </w:r>
          </w:p>
          <w:p w14:paraId="32A7092C" w14:textId="77777777" w:rsidR="00CB4EBF" w:rsidRDefault="00CB4EBF" w:rsidP="0054762C">
            <w:pPr>
              <w:pStyle w:val="BodyText"/>
              <w:ind w:left="170" w:right="135"/>
              <w:jc w:val="both"/>
              <w:rPr>
                <w:rFonts w:ascii="Times New Roman" w:hAnsi="Times New Roman" w:cs="Times New Roman"/>
                <w:sz w:val="20"/>
                <w:szCs w:val="20"/>
              </w:rPr>
            </w:pPr>
          </w:p>
          <w:p w14:paraId="4D17A6A3" w14:textId="77777777" w:rsidR="00CB4EBF" w:rsidRPr="001C431F" w:rsidRDefault="00CB4EBF" w:rsidP="0054762C">
            <w:pPr>
              <w:pStyle w:val="BodyText"/>
              <w:ind w:left="170" w:right="135"/>
              <w:jc w:val="both"/>
              <w:rPr>
                <w:rFonts w:ascii="Times New Roman" w:hAnsi="Times New Roman" w:cs="Times New Roman"/>
                <w:sz w:val="20"/>
                <w:szCs w:val="20"/>
              </w:rPr>
            </w:pPr>
            <w:r>
              <w:rPr>
                <w:rFonts w:ascii="Times New Roman" w:hAnsi="Times New Roman" w:cs="Times New Roman"/>
                <w:sz w:val="20"/>
                <w:szCs w:val="20"/>
                <w:lang w:val="hr"/>
              </w:rPr>
              <w:t>I Europska je komisija pozvana kao savjetnik. Uloga PO-a (osim upravljanja i strateškog koordiniranja procesa planiranja) bila je raspraviti i odobriti glavna ostvarenja programskog procesa.</w:t>
            </w:r>
          </w:p>
          <w:p w14:paraId="1F60AA43" w14:textId="77777777" w:rsidR="00CB4EBF" w:rsidRPr="001C431F" w:rsidRDefault="00CB4EBF" w:rsidP="0054762C">
            <w:pPr>
              <w:pStyle w:val="BodyText"/>
              <w:ind w:left="170" w:right="135"/>
              <w:jc w:val="both"/>
              <w:rPr>
                <w:rFonts w:ascii="Times New Roman" w:hAnsi="Times New Roman" w:cs="Times New Roman"/>
                <w:sz w:val="20"/>
                <w:szCs w:val="20"/>
              </w:rPr>
            </w:pPr>
          </w:p>
          <w:p w14:paraId="5A708728" w14:textId="77777777" w:rsidR="00CB4EBF" w:rsidRPr="001C431F" w:rsidRDefault="00CB4EBF" w:rsidP="0054762C">
            <w:pPr>
              <w:pStyle w:val="BodyText"/>
              <w:ind w:left="170" w:right="135"/>
              <w:jc w:val="both"/>
              <w:rPr>
                <w:rFonts w:ascii="Times New Roman" w:hAnsi="Times New Roman" w:cs="Times New Roman"/>
                <w:sz w:val="20"/>
                <w:szCs w:val="20"/>
              </w:rPr>
            </w:pPr>
            <w:r>
              <w:rPr>
                <w:rFonts w:ascii="Times New Roman" w:hAnsi="Times New Roman" w:cs="Times New Roman"/>
                <w:sz w:val="20"/>
                <w:szCs w:val="20"/>
                <w:lang w:val="hr"/>
              </w:rPr>
              <w:t xml:space="preserve">Kako bi se osigurala zadovoljavajuća razina teritorijalnog vlasništva u skladu s člankom 8. UZO-a, u programski su proces uključeni savjetnici sa središnje i lokalne razine te iz civilnog društva. Ponudili su vrijedne doprinose i propisno je provedeno savjetovanje s relevantnim dionicima i partnerima. Imali su pristup relevantnim informacijama, kao i značajnu ulogu tijekom postupka osmišljavanja. Zbog sigurnosnih mjera koje su primijenile vlade tijekom pandemije bolesti </w:t>
            </w:r>
            <w:proofErr w:type="spellStart"/>
            <w:r>
              <w:rPr>
                <w:rFonts w:ascii="Times New Roman" w:hAnsi="Times New Roman" w:cs="Times New Roman"/>
                <w:sz w:val="20"/>
                <w:szCs w:val="20"/>
                <w:lang w:val="hr"/>
              </w:rPr>
              <w:t>COVID</w:t>
            </w:r>
            <w:proofErr w:type="spellEnd"/>
            <w:r>
              <w:rPr>
                <w:rFonts w:ascii="Times New Roman" w:hAnsi="Times New Roman" w:cs="Times New Roman"/>
                <w:sz w:val="20"/>
                <w:szCs w:val="20"/>
                <w:lang w:val="hr"/>
              </w:rPr>
              <w:t>, upotrijebljena su i internetska rješenja.</w:t>
            </w:r>
          </w:p>
          <w:p w14:paraId="29FDF9ED" w14:textId="77777777" w:rsidR="00CB4EBF" w:rsidRPr="001C431F" w:rsidRDefault="00CB4EBF" w:rsidP="0054762C">
            <w:pPr>
              <w:pStyle w:val="BodyText"/>
              <w:ind w:left="170" w:right="135"/>
              <w:jc w:val="both"/>
              <w:rPr>
                <w:rFonts w:ascii="Times New Roman" w:hAnsi="Times New Roman" w:cs="Times New Roman"/>
                <w:sz w:val="20"/>
                <w:szCs w:val="20"/>
              </w:rPr>
            </w:pPr>
          </w:p>
          <w:p w14:paraId="0F69BE42" w14:textId="77777777" w:rsidR="00CB4EBF" w:rsidRDefault="00CB4EBF" w:rsidP="0054762C">
            <w:pPr>
              <w:pStyle w:val="BodyText"/>
              <w:ind w:left="170" w:right="135"/>
              <w:jc w:val="both"/>
              <w:rPr>
                <w:rFonts w:ascii="Times New Roman" w:hAnsi="Times New Roman" w:cs="Times New Roman"/>
                <w:sz w:val="20"/>
                <w:szCs w:val="20"/>
              </w:rPr>
            </w:pPr>
            <w:r>
              <w:rPr>
                <w:rFonts w:ascii="Times New Roman" w:hAnsi="Times New Roman" w:cs="Times New Roman"/>
                <w:sz w:val="20"/>
                <w:szCs w:val="20"/>
                <w:lang w:val="hr"/>
              </w:rPr>
              <w:t xml:space="preserve">Sljedeća su savjetovanja provedena kao sastavni dio izrade analize situacije i strategije programa: organizirane su teritorijalne radionice u veljači 2020. i travnju 2021. u pograničnoj regiji koje su uključivale sve glavne dionike, čime se program pretvorio u pravi proces zajedničkog stvaralaštva.  Glavna je svrha bila upoznati sudionike s glavnim rezultatima analize situacije te prikupiti mišljenja i iskustva o temama koje su spomenute i istražene u analizi. Pridonijeli su utvrđivanju glavnih prednosti, potencijala i otkrivenih izazova u svom području </w:t>
            </w:r>
            <w:proofErr w:type="spellStart"/>
            <w:r>
              <w:rPr>
                <w:rFonts w:ascii="Times New Roman" w:hAnsi="Times New Roman" w:cs="Times New Roman"/>
                <w:sz w:val="20"/>
                <w:szCs w:val="20"/>
                <w:lang w:val="hr"/>
              </w:rPr>
              <w:t>NUTS</w:t>
            </w:r>
            <w:proofErr w:type="spellEnd"/>
            <w:r>
              <w:rPr>
                <w:rFonts w:ascii="Times New Roman" w:hAnsi="Times New Roman" w:cs="Times New Roman"/>
                <w:sz w:val="20"/>
                <w:szCs w:val="20"/>
                <w:lang w:val="hr"/>
              </w:rPr>
              <w:t> III i u programskom području, a te spoznaje mogu biti temelj za potencijalna ciljna područja programa. Glavni je ulazni i pripremni dokument bio nacrt analize situacije koja se temeljila na postojećim dokumentima i statističkim podacima.</w:t>
            </w:r>
          </w:p>
          <w:p w14:paraId="66B4B68D" w14:textId="77777777" w:rsidR="00CB4EBF" w:rsidRDefault="00CB4EBF" w:rsidP="0054762C">
            <w:pPr>
              <w:pStyle w:val="BodyText"/>
              <w:ind w:left="170" w:right="135"/>
              <w:jc w:val="both"/>
              <w:rPr>
                <w:rFonts w:ascii="Times New Roman" w:hAnsi="Times New Roman" w:cs="Times New Roman"/>
                <w:sz w:val="20"/>
                <w:szCs w:val="20"/>
              </w:rPr>
            </w:pPr>
          </w:p>
          <w:p w14:paraId="3DCC317D" w14:textId="77777777" w:rsidR="00CB4EBF" w:rsidRDefault="00CB4EBF" w:rsidP="0054762C">
            <w:pPr>
              <w:pStyle w:val="BodyText"/>
              <w:ind w:left="170" w:right="135"/>
              <w:jc w:val="both"/>
              <w:rPr>
                <w:rFonts w:ascii="Times New Roman" w:hAnsi="Times New Roman" w:cs="Times New Roman"/>
                <w:sz w:val="20"/>
                <w:szCs w:val="20"/>
              </w:rPr>
            </w:pPr>
            <w:r>
              <w:rPr>
                <w:rFonts w:ascii="Times New Roman" w:hAnsi="Times New Roman" w:cs="Times New Roman"/>
                <w:sz w:val="20"/>
                <w:szCs w:val="20"/>
                <w:lang w:val="hr"/>
              </w:rPr>
              <w:t>Dionici su tijekom radionica u prvoj fazi upoznati s rezultatima deskriptivne analize uz ukazivanje na glavne značajke različitih tematskih područja. Ukupno 248 sudionika koji predstavljaju različite dionike u pogledu geografske pokrivenosti i zanimanja dalo je svoja mišljenja i zahtjeve za izmjenom analize o radionicama održanim u siječnju i veljači 2020. godine.</w:t>
            </w:r>
          </w:p>
          <w:p w14:paraId="5D936253" w14:textId="77777777" w:rsidR="00CB4EBF" w:rsidRPr="001C431F" w:rsidRDefault="00CB4EBF" w:rsidP="0054762C">
            <w:pPr>
              <w:pStyle w:val="BodyText"/>
              <w:ind w:left="170" w:right="135"/>
              <w:jc w:val="both"/>
              <w:rPr>
                <w:rFonts w:ascii="Times New Roman" w:hAnsi="Times New Roman" w:cs="Times New Roman"/>
                <w:sz w:val="20"/>
                <w:szCs w:val="20"/>
              </w:rPr>
            </w:pPr>
          </w:p>
          <w:p w14:paraId="7A2FE2CA" w14:textId="77777777" w:rsidR="00CB4EBF" w:rsidRPr="001C431F" w:rsidRDefault="00CB4EBF" w:rsidP="0054762C">
            <w:pPr>
              <w:pStyle w:val="BodyText"/>
              <w:ind w:left="170" w:right="135"/>
              <w:jc w:val="both"/>
              <w:rPr>
                <w:rFonts w:ascii="Times New Roman" w:hAnsi="Times New Roman" w:cs="Times New Roman"/>
                <w:sz w:val="20"/>
                <w:szCs w:val="20"/>
              </w:rPr>
            </w:pPr>
            <w:r>
              <w:rPr>
                <w:rFonts w:ascii="Times New Roman" w:hAnsi="Times New Roman" w:cs="Times New Roman"/>
                <w:sz w:val="20"/>
                <w:szCs w:val="20"/>
                <w:lang w:val="hr"/>
              </w:rPr>
              <w:t>Sektorskim su dionicima u drugoj fazi u travnju 2021. predstavljeni prijedlozi o budućim, unaprijed odabranim ciljevima politika za novi program, a oni su izrazili svoja mišljenja i želje (preporuke o sadržaju predloženih ciljeva politika i/ili prijedlozi novih tematskih područja za novi program).</w:t>
            </w:r>
          </w:p>
          <w:p w14:paraId="1A1C5B04" w14:textId="77777777" w:rsidR="00CB4EBF" w:rsidRPr="001C431F" w:rsidRDefault="00CB4EBF" w:rsidP="0054762C">
            <w:pPr>
              <w:pStyle w:val="BodyText"/>
              <w:ind w:left="170" w:right="135"/>
              <w:jc w:val="both"/>
              <w:rPr>
                <w:rFonts w:ascii="Times New Roman" w:hAnsi="Times New Roman" w:cs="Times New Roman"/>
                <w:i/>
                <w:sz w:val="20"/>
                <w:szCs w:val="20"/>
              </w:rPr>
            </w:pPr>
          </w:p>
          <w:p w14:paraId="4CDC7734" w14:textId="77777777" w:rsidR="00CB4EBF" w:rsidRDefault="00CB4EBF" w:rsidP="0054762C">
            <w:pPr>
              <w:pStyle w:val="BodyText"/>
              <w:ind w:left="170" w:right="135"/>
              <w:jc w:val="both"/>
              <w:rPr>
                <w:rFonts w:ascii="Times New Roman" w:hAnsi="Times New Roman" w:cs="Times New Roman"/>
                <w:sz w:val="20"/>
                <w:szCs w:val="20"/>
              </w:rPr>
            </w:pPr>
            <w:r>
              <w:rPr>
                <w:rFonts w:ascii="Times New Roman" w:hAnsi="Times New Roman" w:cs="Times New Roman"/>
                <w:sz w:val="20"/>
                <w:szCs w:val="20"/>
                <w:lang w:val="hr"/>
              </w:rPr>
              <w:t>Provedene su dvije ankete s uzorkom od najmanje 100 lokalnih aktera kako bi se na strukturiran način usmjerili stavovi i mišljenja šire skupine dionika u analizu situacije, čime se dobilo složenije i realnije izvješće, te zatražilo mišljenje dionika o tematskim područjima koja su planeri predložili u tzv. privremenom dokumentu za donošenje odluka, uz povezivanje s procjenom učinka trenutačnog programa za stvaranje i jačanje međusobnih veza.</w:t>
            </w:r>
          </w:p>
          <w:p w14:paraId="40D5DC0F" w14:textId="77777777" w:rsidR="00CB4EBF" w:rsidRPr="001C431F" w:rsidRDefault="00CB4EBF" w:rsidP="0054762C">
            <w:pPr>
              <w:pStyle w:val="BodyText"/>
              <w:ind w:left="170" w:right="135"/>
              <w:jc w:val="both"/>
              <w:rPr>
                <w:rFonts w:ascii="Times New Roman" w:hAnsi="Times New Roman" w:cs="Times New Roman"/>
                <w:sz w:val="20"/>
                <w:szCs w:val="20"/>
              </w:rPr>
            </w:pPr>
          </w:p>
          <w:p w14:paraId="676800F1" w14:textId="77777777" w:rsidR="00CB4EBF" w:rsidRPr="007B76F3" w:rsidRDefault="00CB4EBF" w:rsidP="0054762C">
            <w:pPr>
              <w:pStyle w:val="BodyText"/>
              <w:ind w:left="170" w:right="135"/>
              <w:jc w:val="both"/>
              <w:rPr>
                <w:rFonts w:ascii="Times New Roman" w:hAnsi="Times New Roman" w:cs="Times New Roman"/>
                <w:i/>
                <w:sz w:val="20"/>
                <w:szCs w:val="20"/>
              </w:rPr>
            </w:pPr>
            <w:r>
              <w:rPr>
                <w:rFonts w:ascii="Times New Roman" w:hAnsi="Times New Roman" w:cs="Times New Roman"/>
                <w:sz w:val="20"/>
                <w:szCs w:val="20"/>
                <w:lang w:val="hr"/>
              </w:rPr>
              <w:t>Prva je anketa provedena u siječnju/veljači 2020.; ciljana je e-pošta poslana na više od 1600 kontakata, od kojih je 348 dionika ispunilo upitnik o nacrtu analize situacije programskog područja. Druga anketa, provedena tijekom prosinca 2020. i siječnja 2021., za svoje je cilj imala više od 2500 ljudi, od kojih je 492 odgovorilo i navelo svoje mišljenje. Obje su ankete dale vrlo cijenjene i korisne informacije, dionicima su se postavljala pitanja o njihovim razvojnim ciljevima ili razmišljanjima. Stavovi dionika uključeni su u analizu situacije i dovršenu programsku strategiju.</w:t>
            </w:r>
          </w:p>
          <w:p w14:paraId="1BF9010F" w14:textId="77777777" w:rsidR="00CB4EBF" w:rsidRPr="001C431F" w:rsidRDefault="00CB4EBF" w:rsidP="0054762C">
            <w:pPr>
              <w:pStyle w:val="BodyText"/>
              <w:ind w:left="170" w:right="135"/>
              <w:jc w:val="both"/>
              <w:rPr>
                <w:rFonts w:ascii="Times New Roman" w:hAnsi="Times New Roman" w:cs="Times New Roman"/>
                <w:sz w:val="20"/>
                <w:szCs w:val="20"/>
              </w:rPr>
            </w:pPr>
          </w:p>
          <w:p w14:paraId="3AAA5851" w14:textId="77777777" w:rsidR="00CB4EBF" w:rsidRDefault="00CB4EBF" w:rsidP="0054762C">
            <w:pPr>
              <w:pStyle w:val="BodyText"/>
              <w:ind w:left="170" w:right="135"/>
              <w:jc w:val="both"/>
              <w:rPr>
                <w:rFonts w:ascii="Times New Roman" w:hAnsi="Times New Roman" w:cs="Times New Roman"/>
                <w:sz w:val="20"/>
                <w:szCs w:val="20"/>
              </w:rPr>
            </w:pPr>
            <w:r>
              <w:rPr>
                <w:rFonts w:ascii="Times New Roman" w:hAnsi="Times New Roman" w:cs="Times New Roman"/>
                <w:sz w:val="20"/>
                <w:szCs w:val="20"/>
                <w:lang w:val="hr"/>
              </w:rPr>
              <w:t xml:space="preserve">Organizirano je i provedeno 10 razgovora s ključnim akterima programskog područja s ciljem prikupljanja informacija o trenutačnoj situaciji u programskom području i prikupljanju informacija o željenim smjerovima. Vođeni su razgovori s dionicima koji su predstavnici sljedećih institucija: Upravljačko tijelo za program 2014. – 2020. (mađarsko Ministarstvo vanjskih poslova i trgovine), zajedničko tajništvo za program 2014. – 2020. (u okviru poduzeća </w:t>
            </w:r>
            <w:proofErr w:type="spellStart"/>
            <w:r>
              <w:rPr>
                <w:rFonts w:ascii="Times New Roman" w:hAnsi="Times New Roman" w:cs="Times New Roman"/>
                <w:sz w:val="20"/>
                <w:szCs w:val="20"/>
                <w:lang w:val="hr"/>
              </w:rPr>
              <w:t>Széchenyi</w:t>
            </w:r>
            <w:proofErr w:type="spellEnd"/>
            <w:r>
              <w:rPr>
                <w:rFonts w:ascii="Times New Roman" w:hAnsi="Times New Roman" w:cs="Times New Roman"/>
                <w:sz w:val="20"/>
                <w:szCs w:val="20"/>
                <w:lang w:val="hr"/>
              </w:rPr>
              <w:t xml:space="preserve"> Program Office LLC), Sveučilište u Pečuhu, Zaklada za razvoj </w:t>
            </w:r>
            <w:r>
              <w:rPr>
                <w:rFonts w:ascii="Times New Roman" w:hAnsi="Times New Roman" w:cs="Times New Roman"/>
                <w:sz w:val="20"/>
                <w:szCs w:val="20"/>
                <w:lang w:val="hr"/>
              </w:rPr>
              <w:lastRenderedPageBreak/>
              <w:t xml:space="preserve">poduzeća </w:t>
            </w:r>
            <w:proofErr w:type="spellStart"/>
            <w:r>
              <w:rPr>
                <w:rFonts w:ascii="Times New Roman" w:hAnsi="Times New Roman" w:cs="Times New Roman"/>
                <w:sz w:val="20"/>
                <w:szCs w:val="20"/>
                <w:lang w:val="hr"/>
              </w:rPr>
              <w:t>Šomođske</w:t>
            </w:r>
            <w:proofErr w:type="spellEnd"/>
            <w:r>
              <w:rPr>
                <w:rFonts w:ascii="Times New Roman" w:hAnsi="Times New Roman" w:cs="Times New Roman"/>
                <w:sz w:val="20"/>
                <w:szCs w:val="20"/>
                <w:lang w:val="hr"/>
              </w:rPr>
              <w:t xml:space="preserve"> županije, Uprava </w:t>
            </w:r>
            <w:proofErr w:type="spellStart"/>
            <w:r>
              <w:rPr>
                <w:rFonts w:ascii="Times New Roman" w:hAnsi="Times New Roman" w:cs="Times New Roman"/>
                <w:sz w:val="20"/>
                <w:szCs w:val="20"/>
                <w:lang w:val="hr"/>
              </w:rPr>
              <w:t>Zalske</w:t>
            </w:r>
            <w:proofErr w:type="spellEnd"/>
            <w:r>
              <w:rPr>
                <w:rFonts w:ascii="Times New Roman" w:hAnsi="Times New Roman" w:cs="Times New Roman"/>
                <w:sz w:val="20"/>
                <w:szCs w:val="20"/>
                <w:lang w:val="hr"/>
              </w:rPr>
              <w:t xml:space="preserve"> županije, nacionalno tijelo za program 2014. – 2020. (Hrvatsko Ministarstvo regionalnog razvoja i fondova Europske unije), Međimurska energetska agencija, Koprivničko-križevačka županija, Poduzetnički inkubator Virovitičko-podravske županije i Osječko-baranjska županija.</w:t>
            </w:r>
          </w:p>
          <w:p w14:paraId="340AFA49" w14:textId="77777777" w:rsidR="00CB4EBF" w:rsidRPr="001C431F" w:rsidRDefault="00CB4EBF" w:rsidP="0054762C">
            <w:pPr>
              <w:pStyle w:val="BodyText"/>
              <w:ind w:left="170" w:right="135"/>
              <w:jc w:val="both"/>
              <w:rPr>
                <w:rFonts w:ascii="Times New Roman" w:hAnsi="Times New Roman" w:cs="Times New Roman"/>
                <w:sz w:val="20"/>
                <w:szCs w:val="20"/>
              </w:rPr>
            </w:pPr>
          </w:p>
          <w:p w14:paraId="24309AB6" w14:textId="77777777" w:rsidR="00CB4EBF" w:rsidRPr="001C431F" w:rsidRDefault="00CB4EBF" w:rsidP="0054762C">
            <w:pPr>
              <w:pStyle w:val="BodyText"/>
              <w:ind w:left="170" w:right="135"/>
              <w:jc w:val="both"/>
              <w:rPr>
                <w:rFonts w:ascii="Times New Roman" w:hAnsi="Times New Roman" w:cs="Times New Roman"/>
                <w:sz w:val="20"/>
                <w:szCs w:val="20"/>
              </w:rPr>
            </w:pPr>
            <w:r>
              <w:rPr>
                <w:rFonts w:ascii="Times New Roman" w:hAnsi="Times New Roman" w:cs="Times New Roman"/>
                <w:sz w:val="20"/>
                <w:szCs w:val="20"/>
                <w:lang w:val="hr"/>
              </w:rPr>
              <w:t xml:space="preserve">Osim stručnih foruma, na nacionalnim jezicima </w:t>
            </w:r>
            <w:r>
              <w:rPr>
                <w:rFonts w:ascii="Times New Roman" w:hAnsi="Times New Roman" w:cs="Times New Roman"/>
                <w:i/>
                <w:iCs/>
                <w:sz w:val="20"/>
                <w:szCs w:val="20"/>
                <w:lang w:val="hr"/>
              </w:rPr>
              <w:t xml:space="preserve">provest će se i </w:t>
            </w:r>
            <w:r>
              <w:rPr>
                <w:rFonts w:ascii="Times New Roman" w:hAnsi="Times New Roman" w:cs="Times New Roman"/>
                <w:sz w:val="20"/>
                <w:szCs w:val="20"/>
                <w:lang w:val="hr"/>
              </w:rPr>
              <w:t xml:space="preserve">javno savjetovanje o nacrtu programa </w:t>
            </w:r>
            <w:proofErr w:type="spellStart"/>
            <w:r>
              <w:rPr>
                <w:rFonts w:ascii="Times New Roman" w:hAnsi="Times New Roman" w:cs="Times New Roman"/>
                <w:sz w:val="20"/>
                <w:szCs w:val="20"/>
                <w:lang w:val="hr"/>
              </w:rPr>
              <w:t>Interrega</w:t>
            </w:r>
            <w:proofErr w:type="spellEnd"/>
            <w:r>
              <w:rPr>
                <w:rFonts w:ascii="Times New Roman" w:hAnsi="Times New Roman" w:cs="Times New Roman"/>
                <w:sz w:val="20"/>
                <w:szCs w:val="20"/>
                <w:lang w:val="hr"/>
              </w:rPr>
              <w:t xml:space="preserve"> i nacrtu </w:t>
            </w:r>
            <w:proofErr w:type="spellStart"/>
            <w:r>
              <w:rPr>
                <w:rFonts w:ascii="Times New Roman" w:hAnsi="Times New Roman" w:cs="Times New Roman"/>
                <w:sz w:val="20"/>
                <w:szCs w:val="20"/>
                <w:lang w:val="hr"/>
              </w:rPr>
              <w:t>SEA</w:t>
            </w:r>
            <w:proofErr w:type="spellEnd"/>
            <w:r>
              <w:rPr>
                <w:rFonts w:ascii="Times New Roman" w:hAnsi="Times New Roman" w:cs="Times New Roman"/>
                <w:sz w:val="20"/>
                <w:szCs w:val="20"/>
                <w:lang w:val="hr"/>
              </w:rPr>
              <w:t xml:space="preserve"> izvješća prije donošenja sadržaja.</w:t>
            </w:r>
          </w:p>
          <w:p w14:paraId="77AC09F0" w14:textId="77777777" w:rsidR="00CB4EBF" w:rsidRPr="001C431F" w:rsidRDefault="00CB4EBF" w:rsidP="0054762C">
            <w:pPr>
              <w:pStyle w:val="BodyText"/>
              <w:ind w:left="170" w:right="135"/>
              <w:jc w:val="both"/>
              <w:rPr>
                <w:rFonts w:ascii="Times New Roman" w:hAnsi="Times New Roman" w:cs="Times New Roman"/>
                <w:sz w:val="20"/>
                <w:szCs w:val="20"/>
              </w:rPr>
            </w:pPr>
          </w:p>
          <w:p w14:paraId="1E062384" w14:textId="77777777" w:rsidR="00CB4EBF" w:rsidRDefault="00CB4EBF" w:rsidP="0054762C">
            <w:pPr>
              <w:pStyle w:val="BodyText"/>
              <w:ind w:left="170" w:right="135"/>
              <w:jc w:val="both"/>
              <w:rPr>
                <w:rFonts w:ascii="Times New Roman" w:hAnsi="Times New Roman" w:cs="Times New Roman"/>
                <w:sz w:val="20"/>
                <w:szCs w:val="20"/>
              </w:rPr>
            </w:pPr>
            <w:r>
              <w:rPr>
                <w:rFonts w:ascii="Times New Roman" w:hAnsi="Times New Roman" w:cs="Times New Roman"/>
                <w:sz w:val="20"/>
                <w:szCs w:val="20"/>
                <w:lang w:val="hr"/>
              </w:rPr>
              <w:t xml:space="preserve">U provedbu će Programa biti uključene dvije države članice, uključujući njihovo sudjelovanje u Odboru za praćenje (u daljnjem tekstu: OP). OP nadzire Program i njegovu izvedbu te u skladu s tim donosi odluke. Države članice dogovaraju sastav OP-a i njime se mora osigurati ravnomjerna zastupljenost relevantnih tijela, uključujući posrednička tijela, kao i predstavnika programskih partnera iz članka 29. Uredbe o </w:t>
            </w:r>
            <w:proofErr w:type="spellStart"/>
            <w:r>
              <w:rPr>
                <w:rFonts w:ascii="Times New Roman" w:hAnsi="Times New Roman" w:cs="Times New Roman"/>
                <w:sz w:val="20"/>
                <w:szCs w:val="20"/>
                <w:lang w:val="hr"/>
              </w:rPr>
              <w:t>Interregu</w:t>
            </w:r>
            <w:proofErr w:type="spellEnd"/>
            <w:r>
              <w:rPr>
                <w:rFonts w:ascii="Times New Roman" w:hAnsi="Times New Roman" w:cs="Times New Roman"/>
                <w:sz w:val="20"/>
                <w:szCs w:val="20"/>
                <w:lang w:val="hr"/>
              </w:rPr>
              <w:t xml:space="preserve"> u skladu s Uredbom o europskom kodeksu ponašanja za partnerstvo u okviru Europskih strukturnih i investicijskih fondova.</w:t>
            </w:r>
          </w:p>
          <w:p w14:paraId="6C8D4502" w14:textId="77777777" w:rsidR="00CB4EBF" w:rsidRPr="001C431F" w:rsidRDefault="00CB4EBF" w:rsidP="0054762C">
            <w:pPr>
              <w:pStyle w:val="BodyText"/>
              <w:ind w:left="170" w:right="135"/>
              <w:jc w:val="both"/>
              <w:rPr>
                <w:rFonts w:ascii="Times New Roman" w:hAnsi="Times New Roman" w:cs="Times New Roman"/>
                <w:sz w:val="20"/>
                <w:szCs w:val="20"/>
              </w:rPr>
            </w:pPr>
          </w:p>
          <w:p w14:paraId="029D5790" w14:textId="77777777" w:rsidR="00CB4EBF" w:rsidRPr="001C431F" w:rsidRDefault="00CB4EBF" w:rsidP="0054762C">
            <w:pPr>
              <w:pStyle w:val="BodyText"/>
              <w:ind w:left="170" w:right="135"/>
              <w:jc w:val="both"/>
              <w:rPr>
                <w:rFonts w:ascii="Times New Roman" w:hAnsi="Times New Roman" w:cs="Times New Roman"/>
                <w:sz w:val="20"/>
                <w:szCs w:val="20"/>
              </w:rPr>
            </w:pPr>
            <w:r>
              <w:rPr>
                <w:rFonts w:ascii="Times New Roman" w:hAnsi="Times New Roman" w:cs="Times New Roman"/>
                <w:sz w:val="20"/>
                <w:szCs w:val="20"/>
                <w:lang w:val="hr"/>
              </w:rPr>
              <w:t xml:space="preserve">Takav će se sastav osigurati imenovanjem država članica. OP će donijeti poslovnik u kojem će biti navedene odredbe o njegovom funkcioniranju, pravima i obvezama, o pravima glasa i pravilima za prisustvovanje sastancima, kao i sredstvima i alatima za rješavanje sukoba interesa. Taj se pravilnik objavljuje u skladu s člankom 28.4. Uredbe o </w:t>
            </w:r>
            <w:proofErr w:type="spellStart"/>
            <w:r>
              <w:rPr>
                <w:rFonts w:ascii="Times New Roman" w:hAnsi="Times New Roman" w:cs="Times New Roman"/>
                <w:sz w:val="20"/>
                <w:szCs w:val="20"/>
                <w:lang w:val="hr"/>
              </w:rPr>
              <w:t>Interregu</w:t>
            </w:r>
            <w:proofErr w:type="spellEnd"/>
            <w:r>
              <w:rPr>
                <w:rFonts w:ascii="Times New Roman" w:hAnsi="Times New Roman" w:cs="Times New Roman"/>
                <w:sz w:val="20"/>
                <w:szCs w:val="20"/>
                <w:lang w:val="hr"/>
              </w:rPr>
              <w:t xml:space="preserve">. Popis će članova biti objavljen na internetskoj stranici. </w:t>
            </w:r>
          </w:p>
          <w:p w14:paraId="6934F046" w14:textId="77777777" w:rsidR="00CB4EBF" w:rsidRDefault="00CB4EBF" w:rsidP="0054762C">
            <w:pPr>
              <w:pStyle w:val="BodyText"/>
              <w:ind w:left="170" w:right="135"/>
              <w:jc w:val="both"/>
              <w:rPr>
                <w:rFonts w:ascii="Times New Roman" w:hAnsi="Times New Roman" w:cs="Times New Roman"/>
                <w:sz w:val="20"/>
                <w:szCs w:val="20"/>
              </w:rPr>
            </w:pPr>
            <w:r>
              <w:rPr>
                <w:rFonts w:ascii="Times New Roman" w:hAnsi="Times New Roman" w:cs="Times New Roman"/>
                <w:sz w:val="20"/>
                <w:szCs w:val="20"/>
                <w:lang w:val="hr"/>
              </w:rPr>
              <w:t>Partneri koji će biti imenovani u OP dodatno će se identificirati na temelju gore navedenih direktiva:</w:t>
            </w:r>
          </w:p>
          <w:p w14:paraId="2EF299C8" w14:textId="77777777" w:rsidR="00CB4EBF" w:rsidRPr="001C431F" w:rsidRDefault="00CB4EBF" w:rsidP="0054762C">
            <w:pPr>
              <w:pStyle w:val="BodyText"/>
              <w:ind w:left="170" w:right="135"/>
              <w:jc w:val="both"/>
              <w:rPr>
                <w:rFonts w:ascii="Times New Roman" w:hAnsi="Times New Roman" w:cs="Times New Roman"/>
                <w:sz w:val="20"/>
                <w:szCs w:val="20"/>
              </w:rPr>
            </w:pPr>
          </w:p>
          <w:p w14:paraId="2C024ACD" w14:textId="77777777" w:rsidR="00CB4EBF" w:rsidRPr="001C431F" w:rsidRDefault="00CB4EBF" w:rsidP="0054762C">
            <w:pPr>
              <w:pStyle w:val="BodyText"/>
              <w:numPr>
                <w:ilvl w:val="0"/>
                <w:numId w:val="4"/>
              </w:numPr>
              <w:ind w:right="135"/>
              <w:jc w:val="both"/>
              <w:rPr>
                <w:rFonts w:ascii="Times New Roman" w:hAnsi="Times New Roman" w:cs="Times New Roman"/>
                <w:sz w:val="20"/>
                <w:szCs w:val="20"/>
              </w:rPr>
            </w:pPr>
            <w:r>
              <w:rPr>
                <w:rFonts w:ascii="Times New Roman" w:hAnsi="Times New Roman" w:cs="Times New Roman"/>
                <w:sz w:val="20"/>
                <w:szCs w:val="20"/>
                <w:lang w:val="hr"/>
              </w:rPr>
              <w:t>trebali bi imati relevantno iskustvo u prekograničnim programima;</w:t>
            </w:r>
          </w:p>
          <w:p w14:paraId="6EFC5656" w14:textId="77777777" w:rsidR="00CB4EBF" w:rsidRPr="001C431F" w:rsidRDefault="00CB4EBF" w:rsidP="0054762C">
            <w:pPr>
              <w:pStyle w:val="BodyText"/>
              <w:numPr>
                <w:ilvl w:val="0"/>
                <w:numId w:val="4"/>
              </w:numPr>
              <w:ind w:right="135"/>
              <w:jc w:val="both"/>
              <w:rPr>
                <w:rFonts w:ascii="Times New Roman" w:hAnsi="Times New Roman" w:cs="Times New Roman"/>
                <w:sz w:val="20"/>
                <w:szCs w:val="20"/>
              </w:rPr>
            </w:pPr>
            <w:r>
              <w:rPr>
                <w:rFonts w:ascii="Times New Roman" w:hAnsi="Times New Roman" w:cs="Times New Roman"/>
                <w:sz w:val="20"/>
                <w:szCs w:val="20"/>
                <w:lang w:val="hr"/>
              </w:rPr>
              <w:t>trebali bi imati dokazanu sposobnost za aktivno sudjelovanje na sastancima OP-a i sposobnost doprinosa njegovu radu;</w:t>
            </w:r>
          </w:p>
          <w:p w14:paraId="61892677" w14:textId="77777777" w:rsidR="00CB4EBF" w:rsidRPr="001C431F" w:rsidRDefault="00CB4EBF" w:rsidP="0054762C">
            <w:pPr>
              <w:pStyle w:val="BodyText"/>
              <w:numPr>
                <w:ilvl w:val="0"/>
                <w:numId w:val="4"/>
              </w:numPr>
              <w:ind w:right="135"/>
              <w:jc w:val="both"/>
              <w:rPr>
                <w:rFonts w:ascii="Times New Roman" w:hAnsi="Times New Roman" w:cs="Times New Roman"/>
                <w:sz w:val="20"/>
                <w:szCs w:val="20"/>
              </w:rPr>
            </w:pPr>
            <w:r>
              <w:rPr>
                <w:rFonts w:ascii="Times New Roman" w:hAnsi="Times New Roman" w:cs="Times New Roman"/>
                <w:sz w:val="20"/>
                <w:szCs w:val="20"/>
                <w:lang w:val="hr"/>
              </w:rPr>
              <w:t>trebali bi biti locirani i aktivni u pograničnom području;</w:t>
            </w:r>
          </w:p>
          <w:p w14:paraId="65957B92" w14:textId="77777777" w:rsidR="00CB4EBF" w:rsidRPr="001C431F" w:rsidRDefault="00CB4EBF" w:rsidP="0054762C">
            <w:pPr>
              <w:pStyle w:val="BodyText"/>
              <w:numPr>
                <w:ilvl w:val="0"/>
                <w:numId w:val="4"/>
              </w:numPr>
              <w:ind w:right="135"/>
              <w:jc w:val="both"/>
              <w:rPr>
                <w:rFonts w:ascii="Times New Roman" w:hAnsi="Times New Roman" w:cs="Times New Roman"/>
                <w:sz w:val="20"/>
                <w:szCs w:val="20"/>
              </w:rPr>
            </w:pPr>
            <w:r>
              <w:rPr>
                <w:rFonts w:ascii="Times New Roman" w:hAnsi="Times New Roman" w:cs="Times New Roman"/>
                <w:sz w:val="20"/>
                <w:szCs w:val="20"/>
                <w:lang w:val="hr"/>
              </w:rPr>
              <w:t>trebali bi imati predstavnike s potrebnim znanjem jezika;</w:t>
            </w:r>
          </w:p>
          <w:p w14:paraId="32B26FCC" w14:textId="77777777" w:rsidR="00CB4EBF" w:rsidRPr="001C431F" w:rsidRDefault="00CB4EBF" w:rsidP="0054762C">
            <w:pPr>
              <w:pStyle w:val="BodyText"/>
              <w:numPr>
                <w:ilvl w:val="0"/>
                <w:numId w:val="4"/>
              </w:numPr>
              <w:ind w:right="135"/>
              <w:jc w:val="both"/>
              <w:rPr>
                <w:rFonts w:ascii="Times New Roman" w:hAnsi="Times New Roman" w:cs="Times New Roman"/>
                <w:sz w:val="20"/>
                <w:szCs w:val="20"/>
              </w:rPr>
            </w:pPr>
            <w:r>
              <w:rPr>
                <w:rFonts w:ascii="Times New Roman" w:hAnsi="Times New Roman" w:cs="Times New Roman"/>
                <w:sz w:val="20"/>
                <w:szCs w:val="20"/>
                <w:lang w:val="hr"/>
              </w:rPr>
              <w:t>trebali bi biti kompetentni u svojem zanimanju.</w:t>
            </w:r>
          </w:p>
          <w:p w14:paraId="0277C433" w14:textId="77777777" w:rsidR="00CB4EBF" w:rsidRPr="001C431F" w:rsidRDefault="00CB4EBF" w:rsidP="0054762C">
            <w:pPr>
              <w:pStyle w:val="BodyText"/>
              <w:ind w:left="170" w:right="135"/>
              <w:jc w:val="both"/>
              <w:rPr>
                <w:rFonts w:ascii="Times New Roman" w:hAnsi="Times New Roman" w:cs="Times New Roman"/>
                <w:sz w:val="20"/>
                <w:szCs w:val="20"/>
              </w:rPr>
            </w:pPr>
          </w:p>
          <w:p w14:paraId="47AE78E5" w14:textId="77777777" w:rsidR="00CB4EBF" w:rsidRDefault="00CB4EBF" w:rsidP="0054762C">
            <w:pPr>
              <w:pStyle w:val="BodyText"/>
              <w:ind w:left="170" w:right="135"/>
              <w:jc w:val="both"/>
              <w:rPr>
                <w:rFonts w:ascii="Times New Roman" w:hAnsi="Times New Roman" w:cs="Times New Roman"/>
                <w:sz w:val="20"/>
                <w:szCs w:val="20"/>
              </w:rPr>
            </w:pPr>
            <w:r>
              <w:rPr>
                <w:rFonts w:ascii="Times New Roman" w:hAnsi="Times New Roman" w:cs="Times New Roman"/>
                <w:sz w:val="20"/>
                <w:szCs w:val="20"/>
                <w:lang w:val="hr"/>
              </w:rPr>
              <w:t>U Sporazumu o partnerstvu, među ostalim važnim elementima, opisuje se mehanizam koordinacije, razgraničenja i komplementarnosti među fondovima i koordinacija među nacionalnim i regionalnim programima, kao i komplementarnosti među fondovima i drugim instrumentima Unije u državama članicama. Njime se i pružaju pomoć i informacije u koordinaciji za naš Program. Na taj se način osigurava dvostrani protok informacija.</w:t>
            </w:r>
          </w:p>
          <w:p w14:paraId="0B60D505" w14:textId="77777777" w:rsidR="00CB4EBF" w:rsidRPr="001C431F" w:rsidRDefault="00CB4EBF" w:rsidP="0054762C">
            <w:pPr>
              <w:pStyle w:val="BodyText"/>
              <w:ind w:left="170" w:right="135"/>
              <w:jc w:val="both"/>
              <w:rPr>
                <w:rFonts w:ascii="Times New Roman" w:hAnsi="Times New Roman" w:cs="Times New Roman"/>
                <w:sz w:val="20"/>
                <w:szCs w:val="20"/>
              </w:rPr>
            </w:pPr>
          </w:p>
          <w:p w14:paraId="1CD8D38C" w14:textId="77777777" w:rsidR="00CB4EBF" w:rsidRDefault="00CB4EBF" w:rsidP="0054762C">
            <w:pPr>
              <w:pStyle w:val="BodyText"/>
              <w:ind w:left="170" w:right="135"/>
              <w:jc w:val="both"/>
              <w:rPr>
                <w:rFonts w:ascii="Times New Roman" w:hAnsi="Times New Roman" w:cs="Times New Roman"/>
                <w:sz w:val="20"/>
                <w:szCs w:val="20"/>
              </w:rPr>
            </w:pPr>
            <w:r>
              <w:rPr>
                <w:rFonts w:ascii="Times New Roman" w:hAnsi="Times New Roman" w:cs="Times New Roman"/>
                <w:sz w:val="20"/>
                <w:szCs w:val="20"/>
                <w:lang w:val="hr"/>
              </w:rPr>
              <w:t>Programski partneri uz podršku rada OP-a, Zajedničkog tajništva, Kontrolora i drugih programskih tijela služit će kao trajni mehanizmi koordinacije kojima se osigurava cjelokupna koordinacija i praćenje provedbe drugih instrumenata financiranja Unije i relevantnih nacionalnih instrumenata financiranja. Članovi i promatrači OP-a mogu biti uključeni u provedbu drugih programa i/ili postupak donošenja odluka (npr. županije/</w:t>
            </w:r>
            <w:proofErr w:type="spellStart"/>
            <w:r>
              <w:rPr>
                <w:rFonts w:ascii="Times New Roman" w:hAnsi="Times New Roman" w:cs="Times New Roman"/>
                <w:sz w:val="20"/>
                <w:szCs w:val="20"/>
                <w:lang w:val="hr"/>
              </w:rPr>
              <w:t>VUC</w:t>
            </w:r>
            <w:proofErr w:type="spellEnd"/>
            <w:r>
              <w:rPr>
                <w:rFonts w:ascii="Times New Roman" w:hAnsi="Times New Roman" w:cs="Times New Roman"/>
                <w:sz w:val="20"/>
                <w:szCs w:val="20"/>
                <w:lang w:val="hr"/>
              </w:rPr>
              <w:t>-ovi u programima regionalnog/teritorijalnog razvoja u Hrvatskoj ili Mađarskoj) i stoga posjeduju proširene relevantne informacije.</w:t>
            </w:r>
          </w:p>
          <w:p w14:paraId="45385436" w14:textId="77777777" w:rsidR="00CB4EBF" w:rsidRPr="001C431F" w:rsidRDefault="00CB4EBF" w:rsidP="0054762C">
            <w:pPr>
              <w:pStyle w:val="BodyText"/>
              <w:ind w:left="170" w:right="135"/>
              <w:jc w:val="both"/>
              <w:rPr>
                <w:rFonts w:ascii="Times New Roman" w:hAnsi="Times New Roman" w:cs="Times New Roman"/>
                <w:sz w:val="20"/>
                <w:szCs w:val="20"/>
              </w:rPr>
            </w:pPr>
          </w:p>
          <w:p w14:paraId="1D0377DB" w14:textId="77777777" w:rsidR="00CB4EBF" w:rsidRPr="0076428A" w:rsidRDefault="00CB4EBF" w:rsidP="0054762C">
            <w:pPr>
              <w:pStyle w:val="BodyText"/>
              <w:ind w:left="170" w:right="135"/>
              <w:jc w:val="both"/>
              <w:rPr>
                <w:rFonts w:ascii="Times New Roman" w:hAnsi="Times New Roman" w:cs="Times New Roman"/>
                <w:sz w:val="20"/>
                <w:szCs w:val="20"/>
              </w:rPr>
            </w:pPr>
            <w:r>
              <w:rPr>
                <w:rFonts w:ascii="Times New Roman" w:hAnsi="Times New Roman" w:cs="Times New Roman"/>
                <w:sz w:val="20"/>
                <w:szCs w:val="20"/>
                <w:lang w:val="hr"/>
              </w:rPr>
              <w:t>U Hrvatskoj je Ministarstvo regionalnoga razvoja i fondova Europske unije (</w:t>
            </w:r>
            <w:proofErr w:type="spellStart"/>
            <w:r>
              <w:rPr>
                <w:rFonts w:ascii="Times New Roman" w:hAnsi="Times New Roman" w:cs="Times New Roman"/>
                <w:sz w:val="20"/>
                <w:szCs w:val="20"/>
                <w:lang w:val="hr"/>
              </w:rPr>
              <w:t>MRRFEU</w:t>
            </w:r>
            <w:proofErr w:type="spellEnd"/>
            <w:r>
              <w:rPr>
                <w:rFonts w:ascii="Times New Roman" w:hAnsi="Times New Roman" w:cs="Times New Roman"/>
                <w:sz w:val="20"/>
                <w:szCs w:val="20"/>
                <w:lang w:val="hr"/>
              </w:rPr>
              <w:t xml:space="preserve">) središnje tijelo državne uprave nadležno za planiranje i provedbu aktivnosti u pogledu usklađivanja s Europskom unijom u području regionalnih politika i korištenja fondova Europske unije. S obzirom na to da je zadužen za koordinaciju aktivnosti u pogledu upravljanja programima europske kohezijske politike na nacionalnoj razini, </w:t>
            </w:r>
            <w:proofErr w:type="spellStart"/>
            <w:r>
              <w:rPr>
                <w:rFonts w:ascii="Times New Roman" w:hAnsi="Times New Roman" w:cs="Times New Roman"/>
                <w:sz w:val="20"/>
                <w:szCs w:val="20"/>
                <w:lang w:val="hr"/>
              </w:rPr>
              <w:t>MRRFEU</w:t>
            </w:r>
            <w:proofErr w:type="spellEnd"/>
            <w:r>
              <w:rPr>
                <w:rFonts w:ascii="Times New Roman" w:hAnsi="Times New Roman" w:cs="Times New Roman"/>
                <w:sz w:val="20"/>
                <w:szCs w:val="20"/>
                <w:lang w:val="hr"/>
              </w:rPr>
              <w:t xml:space="preserve"> je odgovoran za pripremu, koordinaciju i upravljanje programima europske teritorijalne suradnje. </w:t>
            </w:r>
            <w:proofErr w:type="spellStart"/>
            <w:r>
              <w:rPr>
                <w:rFonts w:ascii="Times New Roman" w:hAnsi="Times New Roman" w:cs="Times New Roman"/>
                <w:sz w:val="20"/>
                <w:szCs w:val="20"/>
                <w:lang w:val="hr"/>
              </w:rPr>
              <w:t>MRRFEU</w:t>
            </w:r>
            <w:proofErr w:type="spellEnd"/>
            <w:r>
              <w:rPr>
                <w:rFonts w:ascii="Times New Roman" w:hAnsi="Times New Roman" w:cs="Times New Roman"/>
                <w:sz w:val="20"/>
                <w:szCs w:val="20"/>
                <w:lang w:val="hr"/>
              </w:rPr>
              <w:t xml:space="preserve"> u tom pogledu ima ulogu upravljačkog tijela, nacionalnog tijela, prve razine kontrole, kao i tijela za ovjeravanje za većinu hrvatskog portfelja ETS programâ i </w:t>
            </w:r>
            <w:proofErr w:type="spellStart"/>
            <w:r>
              <w:rPr>
                <w:rFonts w:ascii="Times New Roman" w:hAnsi="Times New Roman" w:cs="Times New Roman"/>
                <w:sz w:val="20"/>
                <w:szCs w:val="20"/>
                <w:lang w:val="hr"/>
              </w:rPr>
              <w:t>makroregionalnih</w:t>
            </w:r>
            <w:proofErr w:type="spellEnd"/>
            <w:r>
              <w:rPr>
                <w:rFonts w:ascii="Times New Roman" w:hAnsi="Times New Roman" w:cs="Times New Roman"/>
                <w:sz w:val="20"/>
                <w:szCs w:val="20"/>
                <w:lang w:val="hr"/>
              </w:rPr>
              <w:t xml:space="preserve"> strategija.</w:t>
            </w:r>
          </w:p>
          <w:p w14:paraId="2919D70A" w14:textId="77777777" w:rsidR="00CB4EBF" w:rsidRPr="001C431F" w:rsidRDefault="00CB4EBF" w:rsidP="0054762C">
            <w:pPr>
              <w:pStyle w:val="BodyText"/>
              <w:ind w:left="170" w:right="135"/>
              <w:jc w:val="both"/>
              <w:rPr>
                <w:rFonts w:ascii="Times New Roman" w:hAnsi="Times New Roman" w:cs="Times New Roman"/>
                <w:sz w:val="20"/>
                <w:szCs w:val="20"/>
              </w:rPr>
            </w:pPr>
          </w:p>
          <w:p w14:paraId="5F5B633D" w14:textId="77777777" w:rsidR="00CB4EBF" w:rsidRPr="001C431F" w:rsidRDefault="00CB4EBF" w:rsidP="0054762C">
            <w:pPr>
              <w:pStyle w:val="BodyText"/>
              <w:ind w:left="170" w:right="135"/>
              <w:jc w:val="both"/>
              <w:rPr>
                <w:rFonts w:ascii="Times New Roman" w:hAnsi="Times New Roman" w:cs="Times New Roman"/>
                <w:sz w:val="20"/>
                <w:szCs w:val="20"/>
              </w:rPr>
            </w:pPr>
            <w:r>
              <w:rPr>
                <w:rFonts w:ascii="Times New Roman" w:hAnsi="Times New Roman" w:cs="Times New Roman"/>
                <w:sz w:val="20"/>
                <w:szCs w:val="20"/>
                <w:lang w:val="hr"/>
              </w:rPr>
              <w:t xml:space="preserve">U Mađarskoj je portfelj za planiranje i provedbu programâ </w:t>
            </w:r>
            <w:proofErr w:type="spellStart"/>
            <w:r>
              <w:rPr>
                <w:rFonts w:ascii="Times New Roman" w:hAnsi="Times New Roman" w:cs="Times New Roman"/>
                <w:sz w:val="20"/>
                <w:szCs w:val="20"/>
                <w:lang w:val="hr"/>
              </w:rPr>
              <w:t>Interrega</w:t>
            </w:r>
            <w:proofErr w:type="spellEnd"/>
            <w:r>
              <w:rPr>
                <w:rFonts w:ascii="Times New Roman" w:hAnsi="Times New Roman" w:cs="Times New Roman"/>
                <w:sz w:val="20"/>
                <w:szCs w:val="20"/>
                <w:lang w:val="hr"/>
              </w:rPr>
              <w:t xml:space="preserve"> </w:t>
            </w:r>
            <w:proofErr w:type="spellStart"/>
            <w:r>
              <w:rPr>
                <w:rFonts w:ascii="Times New Roman" w:hAnsi="Times New Roman" w:cs="Times New Roman"/>
                <w:sz w:val="20"/>
                <w:szCs w:val="20"/>
                <w:lang w:val="hr"/>
              </w:rPr>
              <w:t>CBC</w:t>
            </w:r>
            <w:proofErr w:type="spellEnd"/>
            <w:r>
              <w:rPr>
                <w:rFonts w:ascii="Times New Roman" w:hAnsi="Times New Roman" w:cs="Times New Roman"/>
                <w:sz w:val="20"/>
                <w:szCs w:val="20"/>
                <w:lang w:val="hr"/>
              </w:rPr>
              <w:t xml:space="preserve"> u nadležnosti Ministarstva vanjskih poslova i trgovine (MVP). MVP je u fazi planiranja koordinirao proces programiranja za sve programe prekogranične suradnje u kojima sudjeluje Mađarska, a u procesu su sudjelovali i Ured premijera u funkciji koordinatora fondova kohezijske politike u Mađarskoj te Ministarstvo financija kao tijelo nadležno za teritorijalni razvoj na nacionalnoj razini. S obzirom na to da je MVP odgovoran za </w:t>
            </w:r>
            <w:proofErr w:type="spellStart"/>
            <w:r>
              <w:rPr>
                <w:rFonts w:ascii="Times New Roman" w:hAnsi="Times New Roman" w:cs="Times New Roman"/>
                <w:sz w:val="20"/>
                <w:szCs w:val="20"/>
                <w:lang w:val="hr"/>
              </w:rPr>
              <w:t>CBC</w:t>
            </w:r>
            <w:proofErr w:type="spellEnd"/>
            <w:r>
              <w:rPr>
                <w:rFonts w:ascii="Times New Roman" w:hAnsi="Times New Roman" w:cs="Times New Roman"/>
                <w:sz w:val="20"/>
                <w:szCs w:val="20"/>
                <w:lang w:val="hr"/>
              </w:rPr>
              <w:t xml:space="preserve"> programe </w:t>
            </w:r>
            <w:proofErr w:type="spellStart"/>
            <w:r>
              <w:rPr>
                <w:rFonts w:ascii="Times New Roman" w:hAnsi="Times New Roman" w:cs="Times New Roman"/>
                <w:sz w:val="20"/>
                <w:szCs w:val="20"/>
                <w:lang w:val="hr"/>
              </w:rPr>
              <w:t>Interrega</w:t>
            </w:r>
            <w:proofErr w:type="spellEnd"/>
            <w:r>
              <w:rPr>
                <w:rFonts w:ascii="Times New Roman" w:hAnsi="Times New Roman" w:cs="Times New Roman"/>
                <w:sz w:val="20"/>
                <w:szCs w:val="20"/>
                <w:lang w:val="hr"/>
              </w:rPr>
              <w:t>, on sudjeluje u nadzornom odboru sporazuma o partnerstvu u Mađarskoj u savjetodavnoj ulozi. Osim toga, MVP zajedno s upravljačkim tijela glavnog programa sudjeluje u Odboru za koordinaciju razvojne politike koji se bavi svim pitanjima razvojne politike u Mađarskoj.</w:t>
            </w:r>
          </w:p>
          <w:p w14:paraId="4FFAF560" w14:textId="77777777" w:rsidR="00CB4EBF" w:rsidRPr="000B00AE" w:rsidRDefault="00CB4EBF" w:rsidP="0054762C">
            <w:pPr>
              <w:pStyle w:val="BodyText"/>
              <w:ind w:left="170" w:right="135"/>
              <w:jc w:val="both"/>
              <w:rPr>
                <w:rFonts w:ascii="Times New Roman" w:hAnsi="Times New Roman" w:cs="Times New Roman"/>
                <w:i/>
                <w:sz w:val="20"/>
                <w:szCs w:val="20"/>
              </w:rPr>
            </w:pPr>
          </w:p>
          <w:p w14:paraId="69A43206" w14:textId="77777777" w:rsidR="00CB4EBF" w:rsidRPr="007B76F3" w:rsidRDefault="00CB4EBF" w:rsidP="0054762C">
            <w:pPr>
              <w:pStyle w:val="BodyText"/>
              <w:ind w:left="170" w:right="135"/>
              <w:jc w:val="both"/>
              <w:rPr>
                <w:rFonts w:ascii="Times New Roman" w:hAnsi="Times New Roman" w:cs="Times New Roman"/>
                <w:i/>
                <w:sz w:val="20"/>
                <w:szCs w:val="20"/>
              </w:rPr>
            </w:pPr>
            <w:r>
              <w:rPr>
                <w:rFonts w:ascii="Times New Roman" w:hAnsi="Times New Roman" w:cs="Times New Roman"/>
                <w:i/>
                <w:iCs/>
                <w:sz w:val="20"/>
                <w:szCs w:val="20"/>
                <w:lang w:val="hr"/>
              </w:rPr>
              <w:t>Praćenje i evaluacija:</w:t>
            </w:r>
          </w:p>
          <w:p w14:paraId="5B1FFB53" w14:textId="77777777" w:rsidR="00CB4EBF" w:rsidRPr="001C431F" w:rsidRDefault="00CB4EBF" w:rsidP="0054762C">
            <w:pPr>
              <w:pStyle w:val="BodyText"/>
              <w:ind w:left="170" w:right="135"/>
              <w:jc w:val="both"/>
              <w:rPr>
                <w:rFonts w:ascii="Times New Roman" w:hAnsi="Times New Roman" w:cs="Times New Roman"/>
                <w:sz w:val="20"/>
                <w:szCs w:val="20"/>
              </w:rPr>
            </w:pPr>
          </w:p>
          <w:p w14:paraId="74F9959C" w14:textId="77777777" w:rsidR="00CB4EBF" w:rsidRDefault="00CB4EBF" w:rsidP="0054762C">
            <w:pPr>
              <w:pStyle w:val="BodyText"/>
              <w:ind w:left="170" w:right="135"/>
              <w:jc w:val="both"/>
              <w:rPr>
                <w:rFonts w:ascii="Times New Roman" w:hAnsi="Times New Roman" w:cs="Times New Roman"/>
                <w:sz w:val="20"/>
                <w:szCs w:val="20"/>
              </w:rPr>
            </w:pPr>
            <w:r>
              <w:rPr>
                <w:rFonts w:ascii="Times New Roman" w:hAnsi="Times New Roman" w:cs="Times New Roman"/>
                <w:sz w:val="20"/>
                <w:szCs w:val="20"/>
                <w:lang w:val="hr"/>
              </w:rPr>
              <w:t>Glavno tijelo zaduženo za praćenje i evaluaciju Programa jest OP uz pomoć Zajedničkog tajništva. OP će redovito, među ostalim, provjeravati:</w:t>
            </w:r>
          </w:p>
          <w:p w14:paraId="25ED888B" w14:textId="77777777" w:rsidR="00CB4EBF" w:rsidRPr="001C431F" w:rsidRDefault="00CB4EBF" w:rsidP="0054762C">
            <w:pPr>
              <w:pStyle w:val="BodyText"/>
              <w:ind w:left="170" w:right="135"/>
              <w:jc w:val="both"/>
              <w:rPr>
                <w:rFonts w:ascii="Times New Roman" w:hAnsi="Times New Roman" w:cs="Times New Roman"/>
                <w:sz w:val="20"/>
                <w:szCs w:val="20"/>
              </w:rPr>
            </w:pPr>
          </w:p>
          <w:p w14:paraId="249C148A" w14:textId="77777777" w:rsidR="00CB4EBF" w:rsidRPr="001C431F" w:rsidRDefault="00CB4EBF" w:rsidP="0054762C">
            <w:pPr>
              <w:pStyle w:val="BodyText"/>
              <w:numPr>
                <w:ilvl w:val="0"/>
                <w:numId w:val="5"/>
              </w:numPr>
              <w:ind w:right="135"/>
              <w:jc w:val="both"/>
              <w:rPr>
                <w:rFonts w:ascii="Times New Roman" w:hAnsi="Times New Roman" w:cs="Times New Roman"/>
                <w:sz w:val="20"/>
                <w:szCs w:val="20"/>
              </w:rPr>
            </w:pPr>
            <w:r>
              <w:rPr>
                <w:rFonts w:ascii="Times New Roman" w:hAnsi="Times New Roman" w:cs="Times New Roman"/>
                <w:sz w:val="20"/>
                <w:szCs w:val="20"/>
                <w:lang w:val="hr"/>
              </w:rPr>
              <w:t xml:space="preserve">napredak u provedbi programa i u ostvarivanju ključnih etapa i ciljnih vrijednosti programa </w:t>
            </w:r>
            <w:proofErr w:type="spellStart"/>
            <w:r>
              <w:rPr>
                <w:rFonts w:ascii="Times New Roman" w:hAnsi="Times New Roman" w:cs="Times New Roman"/>
                <w:sz w:val="20"/>
                <w:szCs w:val="20"/>
                <w:lang w:val="hr"/>
              </w:rPr>
              <w:t>Interrega</w:t>
            </w:r>
            <w:proofErr w:type="spellEnd"/>
            <w:r>
              <w:rPr>
                <w:rFonts w:ascii="Times New Roman" w:hAnsi="Times New Roman" w:cs="Times New Roman"/>
                <w:sz w:val="20"/>
                <w:szCs w:val="20"/>
                <w:lang w:val="hr"/>
              </w:rPr>
              <w:t>;</w:t>
            </w:r>
          </w:p>
          <w:p w14:paraId="12CCB605" w14:textId="77777777" w:rsidR="00CB4EBF" w:rsidRPr="001C431F" w:rsidRDefault="00CB4EBF" w:rsidP="0054762C">
            <w:pPr>
              <w:pStyle w:val="BodyText"/>
              <w:numPr>
                <w:ilvl w:val="0"/>
                <w:numId w:val="5"/>
              </w:numPr>
              <w:ind w:right="135"/>
              <w:jc w:val="both"/>
              <w:rPr>
                <w:rFonts w:ascii="Times New Roman" w:hAnsi="Times New Roman" w:cs="Times New Roman"/>
                <w:sz w:val="20"/>
                <w:szCs w:val="20"/>
              </w:rPr>
            </w:pPr>
            <w:r>
              <w:rPr>
                <w:rFonts w:ascii="Times New Roman" w:hAnsi="Times New Roman" w:cs="Times New Roman"/>
                <w:sz w:val="20"/>
                <w:szCs w:val="20"/>
                <w:lang w:val="hr"/>
              </w:rPr>
              <w:lastRenderedPageBreak/>
              <w:t>sva pitanja koja utječu na uspješnost programa i mjere poduzete za rješavanje tih pitanja;</w:t>
            </w:r>
          </w:p>
          <w:p w14:paraId="526FA705" w14:textId="77777777" w:rsidR="00CB4EBF" w:rsidRPr="001C431F" w:rsidRDefault="00CB4EBF" w:rsidP="0054762C">
            <w:pPr>
              <w:pStyle w:val="BodyText"/>
              <w:numPr>
                <w:ilvl w:val="0"/>
                <w:numId w:val="5"/>
              </w:numPr>
              <w:ind w:right="135"/>
              <w:jc w:val="both"/>
              <w:rPr>
                <w:rFonts w:ascii="Times New Roman" w:hAnsi="Times New Roman" w:cs="Times New Roman"/>
                <w:sz w:val="20"/>
                <w:szCs w:val="20"/>
              </w:rPr>
            </w:pPr>
            <w:r>
              <w:rPr>
                <w:rFonts w:ascii="Times New Roman" w:hAnsi="Times New Roman" w:cs="Times New Roman"/>
                <w:sz w:val="20"/>
                <w:szCs w:val="20"/>
                <w:lang w:val="hr"/>
              </w:rPr>
              <w:t>napredak ostvaren u provedbi evaluacija i daljnjih djelovanja u pogledu nalazâ;</w:t>
            </w:r>
          </w:p>
          <w:p w14:paraId="2067566A" w14:textId="77777777" w:rsidR="00CB4EBF" w:rsidRPr="001C431F" w:rsidRDefault="00CB4EBF" w:rsidP="0054762C">
            <w:pPr>
              <w:pStyle w:val="BodyText"/>
              <w:numPr>
                <w:ilvl w:val="0"/>
                <w:numId w:val="5"/>
              </w:numPr>
              <w:ind w:right="135"/>
              <w:jc w:val="both"/>
              <w:rPr>
                <w:rFonts w:ascii="Times New Roman" w:hAnsi="Times New Roman" w:cs="Times New Roman"/>
                <w:sz w:val="20"/>
                <w:szCs w:val="20"/>
              </w:rPr>
            </w:pPr>
            <w:r>
              <w:rPr>
                <w:rFonts w:ascii="Times New Roman" w:hAnsi="Times New Roman" w:cs="Times New Roman"/>
                <w:sz w:val="20"/>
                <w:szCs w:val="20"/>
                <w:lang w:val="hr"/>
              </w:rPr>
              <w:t>provedbu komunikacijskih djelovanja i djelovanja povezanih s vidljivošću;</w:t>
            </w:r>
          </w:p>
          <w:p w14:paraId="376AF40E" w14:textId="77777777" w:rsidR="00CB4EBF" w:rsidRPr="001C431F" w:rsidRDefault="00CB4EBF" w:rsidP="0054762C">
            <w:pPr>
              <w:pStyle w:val="BodyText"/>
              <w:numPr>
                <w:ilvl w:val="0"/>
                <w:numId w:val="5"/>
              </w:numPr>
              <w:ind w:right="135"/>
              <w:jc w:val="both"/>
              <w:rPr>
                <w:rFonts w:ascii="Times New Roman" w:hAnsi="Times New Roman" w:cs="Times New Roman"/>
                <w:sz w:val="20"/>
                <w:szCs w:val="20"/>
              </w:rPr>
            </w:pPr>
            <w:r>
              <w:rPr>
                <w:rFonts w:ascii="Times New Roman" w:hAnsi="Times New Roman" w:cs="Times New Roman"/>
                <w:sz w:val="20"/>
                <w:szCs w:val="20"/>
                <w:lang w:val="hr"/>
              </w:rPr>
              <w:t>napredak u provedbi operacija programa od strateške važnosti.</w:t>
            </w:r>
          </w:p>
          <w:p w14:paraId="1D2184DF" w14:textId="77777777" w:rsidR="00CB4EBF" w:rsidRDefault="00CB4EBF" w:rsidP="0054762C">
            <w:pPr>
              <w:pStyle w:val="BodyText"/>
              <w:ind w:right="135"/>
              <w:jc w:val="both"/>
              <w:rPr>
                <w:rFonts w:ascii="Times New Roman" w:hAnsi="Times New Roman" w:cs="Times New Roman"/>
                <w:sz w:val="20"/>
                <w:szCs w:val="20"/>
              </w:rPr>
            </w:pPr>
          </w:p>
          <w:p w14:paraId="29F312F0" w14:textId="77777777" w:rsidR="00CB4EBF" w:rsidRDefault="00CB4EBF" w:rsidP="0054762C">
            <w:pPr>
              <w:pStyle w:val="BodyText"/>
              <w:ind w:left="176" w:right="135"/>
              <w:jc w:val="both"/>
              <w:rPr>
                <w:rFonts w:ascii="Times New Roman" w:hAnsi="Times New Roman" w:cs="Times New Roman"/>
                <w:sz w:val="20"/>
                <w:szCs w:val="20"/>
              </w:rPr>
            </w:pPr>
            <w:r>
              <w:rPr>
                <w:rFonts w:ascii="Times New Roman" w:hAnsi="Times New Roman" w:cs="Times New Roman"/>
                <w:sz w:val="20"/>
                <w:szCs w:val="20"/>
                <w:lang w:val="hr"/>
              </w:rPr>
              <w:t xml:space="preserve">Pored svojih zadaća u pogledu odabira operacija navedenih u članku 22. Uredbe o </w:t>
            </w:r>
            <w:proofErr w:type="spellStart"/>
            <w:r>
              <w:rPr>
                <w:rFonts w:ascii="Times New Roman" w:hAnsi="Times New Roman" w:cs="Times New Roman"/>
                <w:sz w:val="20"/>
                <w:szCs w:val="20"/>
                <w:lang w:val="hr"/>
              </w:rPr>
              <w:t>Interregu</w:t>
            </w:r>
            <w:proofErr w:type="spellEnd"/>
            <w:r>
              <w:rPr>
                <w:rFonts w:ascii="Times New Roman" w:hAnsi="Times New Roman" w:cs="Times New Roman"/>
                <w:sz w:val="20"/>
                <w:szCs w:val="20"/>
                <w:lang w:val="hr"/>
              </w:rPr>
              <w:t>, odbor za praćenje odobrava:</w:t>
            </w:r>
          </w:p>
          <w:p w14:paraId="6D2A564E" w14:textId="77777777" w:rsidR="00CB4EBF" w:rsidRPr="001C431F" w:rsidRDefault="00CB4EBF" w:rsidP="0054762C">
            <w:pPr>
              <w:pStyle w:val="BodyText"/>
              <w:ind w:left="176" w:right="135"/>
              <w:jc w:val="both"/>
              <w:rPr>
                <w:rFonts w:ascii="Times New Roman" w:hAnsi="Times New Roman" w:cs="Times New Roman"/>
                <w:sz w:val="20"/>
                <w:szCs w:val="20"/>
              </w:rPr>
            </w:pPr>
          </w:p>
          <w:p w14:paraId="0C3DD55E" w14:textId="77777777" w:rsidR="00CB4EBF" w:rsidRPr="001C431F" w:rsidRDefault="00CB4EBF" w:rsidP="0054762C">
            <w:pPr>
              <w:pStyle w:val="BodyText"/>
              <w:numPr>
                <w:ilvl w:val="0"/>
                <w:numId w:val="5"/>
              </w:numPr>
              <w:ind w:right="135"/>
              <w:jc w:val="both"/>
              <w:rPr>
                <w:rFonts w:ascii="Times New Roman" w:hAnsi="Times New Roman" w:cs="Times New Roman"/>
                <w:sz w:val="20"/>
                <w:szCs w:val="20"/>
              </w:rPr>
            </w:pPr>
            <w:r>
              <w:rPr>
                <w:rFonts w:ascii="Times New Roman" w:hAnsi="Times New Roman" w:cs="Times New Roman"/>
                <w:sz w:val="20"/>
                <w:szCs w:val="20"/>
                <w:lang w:val="hr"/>
              </w:rPr>
              <w:t xml:space="preserve">metodologiju i kriterije za odabir operacija, uključujući sve njihove promjene, nakon obavješćivanja Komisije, ako je to zatraženo, uključujući uspostavljanje posebnih upravljačkih odbora koji će biti zaduženi za odabir operacija; </w:t>
            </w:r>
          </w:p>
          <w:p w14:paraId="3B2F2155" w14:textId="77777777" w:rsidR="00CB4EBF" w:rsidRPr="001C431F" w:rsidRDefault="00CB4EBF" w:rsidP="0054762C">
            <w:pPr>
              <w:pStyle w:val="BodyText"/>
              <w:numPr>
                <w:ilvl w:val="0"/>
                <w:numId w:val="5"/>
              </w:numPr>
              <w:ind w:right="135"/>
              <w:jc w:val="both"/>
              <w:rPr>
                <w:rFonts w:ascii="Times New Roman" w:hAnsi="Times New Roman" w:cs="Times New Roman"/>
                <w:sz w:val="20"/>
                <w:szCs w:val="20"/>
              </w:rPr>
            </w:pPr>
            <w:r>
              <w:rPr>
                <w:rFonts w:ascii="Times New Roman" w:hAnsi="Times New Roman" w:cs="Times New Roman"/>
                <w:sz w:val="20"/>
                <w:szCs w:val="20"/>
                <w:lang w:val="hr"/>
              </w:rPr>
              <w:t xml:space="preserve">plan evaluacije i njegove izmjene; </w:t>
            </w:r>
          </w:p>
          <w:p w14:paraId="1A1E9DD6" w14:textId="77777777" w:rsidR="00CB4EBF" w:rsidRPr="001C431F" w:rsidRDefault="00CB4EBF" w:rsidP="0054762C">
            <w:pPr>
              <w:pStyle w:val="BodyText"/>
              <w:numPr>
                <w:ilvl w:val="0"/>
                <w:numId w:val="5"/>
              </w:numPr>
              <w:ind w:right="135"/>
              <w:jc w:val="both"/>
              <w:rPr>
                <w:rFonts w:ascii="Times New Roman" w:hAnsi="Times New Roman" w:cs="Times New Roman"/>
                <w:sz w:val="20"/>
                <w:szCs w:val="20"/>
              </w:rPr>
            </w:pPr>
            <w:r>
              <w:rPr>
                <w:rFonts w:ascii="Times New Roman" w:hAnsi="Times New Roman" w:cs="Times New Roman"/>
                <w:sz w:val="20"/>
                <w:szCs w:val="20"/>
                <w:lang w:val="hr"/>
              </w:rPr>
              <w:t xml:space="preserve">svaki prijedlog upravljačkog tijela za izmjenu programa, među ostalim i za prijenos u skladu s člankom 19. stavkom 5. Uredbe o </w:t>
            </w:r>
            <w:proofErr w:type="spellStart"/>
            <w:r>
              <w:rPr>
                <w:rFonts w:ascii="Times New Roman" w:hAnsi="Times New Roman" w:cs="Times New Roman"/>
                <w:sz w:val="20"/>
                <w:szCs w:val="20"/>
                <w:lang w:val="hr"/>
              </w:rPr>
              <w:t>Interregu</w:t>
            </w:r>
            <w:proofErr w:type="spellEnd"/>
            <w:r>
              <w:rPr>
                <w:rFonts w:ascii="Times New Roman" w:hAnsi="Times New Roman" w:cs="Times New Roman"/>
                <w:sz w:val="20"/>
                <w:szCs w:val="20"/>
                <w:lang w:val="hr"/>
              </w:rPr>
              <w:t>;</w:t>
            </w:r>
          </w:p>
          <w:p w14:paraId="2399DA0F" w14:textId="77777777" w:rsidR="00CB4EBF" w:rsidRPr="001C431F" w:rsidRDefault="00CB4EBF" w:rsidP="0054762C">
            <w:pPr>
              <w:pStyle w:val="BodyText"/>
              <w:numPr>
                <w:ilvl w:val="0"/>
                <w:numId w:val="5"/>
              </w:numPr>
              <w:ind w:right="135"/>
              <w:jc w:val="both"/>
              <w:rPr>
                <w:rFonts w:ascii="Times New Roman" w:hAnsi="Times New Roman" w:cs="Times New Roman"/>
                <w:sz w:val="20"/>
                <w:szCs w:val="20"/>
              </w:rPr>
            </w:pPr>
            <w:r>
              <w:rPr>
                <w:rFonts w:ascii="Times New Roman" w:hAnsi="Times New Roman" w:cs="Times New Roman"/>
                <w:sz w:val="20"/>
                <w:szCs w:val="20"/>
                <w:lang w:val="hr"/>
              </w:rPr>
              <w:t>završno izvješće o uspješnosti.</w:t>
            </w:r>
          </w:p>
          <w:p w14:paraId="604F3795" w14:textId="77777777" w:rsidR="00CB4EBF" w:rsidRDefault="00CB4EBF" w:rsidP="0054762C">
            <w:pPr>
              <w:pStyle w:val="BodyText"/>
              <w:ind w:left="170" w:right="135"/>
              <w:jc w:val="both"/>
              <w:rPr>
                <w:rFonts w:ascii="Times New Roman" w:hAnsi="Times New Roman" w:cs="Times New Roman"/>
                <w:sz w:val="20"/>
                <w:szCs w:val="20"/>
              </w:rPr>
            </w:pPr>
          </w:p>
          <w:p w14:paraId="5A142991" w14:textId="77777777" w:rsidR="00CB4EBF" w:rsidRPr="001C431F" w:rsidRDefault="00CB4EBF" w:rsidP="0054762C">
            <w:pPr>
              <w:pStyle w:val="BodyText"/>
              <w:ind w:left="170" w:right="135"/>
              <w:jc w:val="both"/>
              <w:rPr>
                <w:rFonts w:ascii="Times New Roman" w:hAnsi="Times New Roman" w:cs="Times New Roman"/>
                <w:sz w:val="20"/>
                <w:szCs w:val="20"/>
              </w:rPr>
            </w:pPr>
            <w:r>
              <w:rPr>
                <w:rFonts w:ascii="Times New Roman" w:hAnsi="Times New Roman" w:cs="Times New Roman"/>
                <w:sz w:val="20"/>
                <w:szCs w:val="20"/>
                <w:lang w:val="hr"/>
              </w:rPr>
              <w:t xml:space="preserve">U svrhu mjerenja napretka i uspješnosti provodit će se evaluacija programa s pomoću sljedećih kriterija, među ostalima: djelotvornost, učinkovitost, relevantnost, koherentnost i dodana vrijednost za EU, s ciljem poboljšanja kvalitete koncepcije i provedbe programâ. Evaluacije mogu uključivati i druge relevantne kriterije, kao što su </w:t>
            </w:r>
            <w:proofErr w:type="spellStart"/>
            <w:r>
              <w:rPr>
                <w:rFonts w:ascii="Times New Roman" w:hAnsi="Times New Roman" w:cs="Times New Roman"/>
                <w:sz w:val="20"/>
                <w:szCs w:val="20"/>
                <w:lang w:val="hr"/>
              </w:rPr>
              <w:t>uključivost</w:t>
            </w:r>
            <w:proofErr w:type="spellEnd"/>
            <w:r>
              <w:rPr>
                <w:rFonts w:ascii="Times New Roman" w:hAnsi="Times New Roman" w:cs="Times New Roman"/>
                <w:sz w:val="20"/>
                <w:szCs w:val="20"/>
                <w:lang w:val="hr"/>
              </w:rPr>
              <w:t xml:space="preserve">, nediskriminacija i vidljivost, te mogu obuhvaćati više od jednog programa. Evaluacija je javna. </w:t>
            </w:r>
          </w:p>
          <w:p w14:paraId="528B82BB" w14:textId="77777777" w:rsidR="00CB4EBF" w:rsidRPr="0025178F" w:rsidRDefault="00CB4EBF" w:rsidP="0054762C">
            <w:pPr>
              <w:pStyle w:val="BodyText"/>
              <w:ind w:left="170" w:right="135"/>
              <w:jc w:val="both"/>
              <w:rPr>
                <w:rFonts w:ascii="Times New Roman" w:hAnsi="Times New Roman" w:cs="Times New Roman"/>
                <w:b/>
                <w:sz w:val="20"/>
                <w:szCs w:val="20"/>
              </w:rPr>
            </w:pPr>
          </w:p>
          <w:p w14:paraId="4D231EB8" w14:textId="77777777" w:rsidR="00CB4EBF" w:rsidRPr="00FA038B" w:rsidRDefault="00CB4EBF" w:rsidP="0054762C">
            <w:pPr>
              <w:pStyle w:val="BodyText"/>
              <w:ind w:left="170" w:right="135"/>
              <w:jc w:val="both"/>
              <w:rPr>
                <w:i/>
                <w:sz w:val="20"/>
                <w:szCs w:val="20"/>
              </w:rPr>
            </w:pPr>
            <w:r>
              <w:rPr>
                <w:rFonts w:ascii="Times New Roman" w:hAnsi="Times New Roman" w:cs="Times New Roman"/>
                <w:i/>
                <w:iCs/>
                <w:sz w:val="20"/>
                <w:szCs w:val="20"/>
                <w:lang w:val="hr"/>
              </w:rPr>
              <w:t>Sustav praćenja i e-kohezija</w:t>
            </w:r>
          </w:p>
          <w:p w14:paraId="575E4A11" w14:textId="77777777" w:rsidR="00CB4EBF" w:rsidRPr="001C431F" w:rsidRDefault="00CB4EBF" w:rsidP="0054762C">
            <w:pPr>
              <w:pStyle w:val="BodyText"/>
              <w:ind w:left="170" w:right="135"/>
              <w:jc w:val="both"/>
              <w:rPr>
                <w:sz w:val="20"/>
                <w:szCs w:val="20"/>
              </w:rPr>
            </w:pPr>
          </w:p>
          <w:p w14:paraId="574C441E" w14:textId="77777777" w:rsidR="00CB4EBF" w:rsidRPr="001C431F" w:rsidRDefault="00CB4EBF" w:rsidP="0054762C">
            <w:pPr>
              <w:pStyle w:val="BodyText"/>
              <w:ind w:left="170" w:right="135"/>
              <w:jc w:val="both"/>
              <w:rPr>
                <w:rFonts w:ascii="Times New Roman" w:hAnsi="Times New Roman" w:cs="Times New Roman"/>
                <w:sz w:val="20"/>
                <w:szCs w:val="20"/>
              </w:rPr>
            </w:pPr>
          </w:p>
          <w:p w14:paraId="23DE19DA" w14:textId="77777777" w:rsidR="00CB4EBF" w:rsidRPr="001C431F" w:rsidRDefault="00CB4EBF" w:rsidP="0054762C">
            <w:pPr>
              <w:pStyle w:val="BodyText"/>
              <w:ind w:left="170" w:right="135"/>
              <w:jc w:val="both"/>
              <w:rPr>
                <w:rFonts w:ascii="Times New Roman" w:hAnsi="Times New Roman" w:cs="Times New Roman"/>
                <w:color w:val="000000" w:themeColor="text1"/>
                <w:sz w:val="20"/>
                <w:szCs w:val="20"/>
                <w:bdr w:val="none" w:sz="0" w:space="0" w:color="auto" w:frame="1"/>
              </w:rPr>
            </w:pPr>
          </w:p>
        </w:tc>
      </w:tr>
    </w:tbl>
    <w:p w14:paraId="02B97923" w14:textId="77777777" w:rsidR="00CB4EBF" w:rsidRPr="001C431F" w:rsidRDefault="00CB4EBF" w:rsidP="00CB4EBF">
      <w:pPr>
        <w:numPr>
          <w:ilvl w:val="0"/>
          <w:numId w:val="31"/>
        </w:numPr>
        <w:spacing w:after="0" w:line="240" w:lineRule="auto"/>
        <w:ind w:left="709" w:hanging="709"/>
        <w:jc w:val="both"/>
        <w:rPr>
          <w:rFonts w:eastAsia="Times New Roman" w:cs="Times New Roman"/>
          <w:b/>
          <w:iCs/>
          <w:noProof/>
          <w:sz w:val="20"/>
          <w:szCs w:val="20"/>
        </w:rPr>
      </w:pPr>
      <w:r>
        <w:rPr>
          <w:rFonts w:eastAsia="Times New Roman" w:cs="Times New Roman"/>
          <w:b/>
          <w:bCs/>
          <w:noProof/>
          <w:sz w:val="20"/>
          <w:szCs w:val="20"/>
          <w:lang w:val="hr"/>
        </w:rPr>
        <w:lastRenderedPageBreak/>
        <w:t>Pristup komunikacijskim mjerama i mjerama povezanima s vidljivošću za program Interrega (</w:t>
      </w:r>
      <w:r>
        <w:rPr>
          <w:rFonts w:eastAsia="Times New Roman" w:cs="Times New Roman"/>
          <w:b/>
          <w:bCs/>
          <w:sz w:val="20"/>
          <w:szCs w:val="20"/>
          <w:lang w:val="hr"/>
        </w:rPr>
        <w:t>ciljevi, ciljna publika, komunikacijski kanali, uključujući aktivnosti otvaranja prema javnosti putem društvenih medija, prema potrebi, planirani proračun i relevantni pokazatelji za praćenje i evaluaciju)</w:t>
      </w:r>
      <w:r>
        <w:rPr>
          <w:rFonts w:eastAsia="Times New Roman" w:cs="Times New Roman"/>
          <w:b/>
          <w:bCs/>
          <w:noProof/>
          <w:sz w:val="20"/>
          <w:szCs w:val="20"/>
          <w:lang w:val="hr"/>
        </w:rPr>
        <w:t xml:space="preserve"> </w:t>
      </w:r>
    </w:p>
    <w:p w14:paraId="2068F6C7" w14:textId="77777777" w:rsidR="00CB4EBF" w:rsidRPr="001C431F" w:rsidRDefault="00CB4EBF" w:rsidP="00CB4EBF">
      <w:pPr>
        <w:spacing w:after="0" w:line="240" w:lineRule="auto"/>
        <w:jc w:val="both"/>
        <w:rPr>
          <w:rFonts w:eastAsia="Times New Roman" w:cs="Times New Roman"/>
          <w:b/>
          <w:i/>
          <w:iCs/>
          <w:noProof/>
          <w:sz w:val="20"/>
          <w:szCs w:val="20"/>
        </w:rPr>
      </w:pPr>
      <w:r>
        <w:rPr>
          <w:rFonts w:eastAsia="Times New Roman" w:cs="Times New Roman"/>
          <w:i/>
          <w:iCs/>
          <w:noProof/>
          <w:color w:val="000000"/>
          <w:sz w:val="20"/>
          <w:szCs w:val="20"/>
          <w:lang w:val="hr"/>
        </w:rPr>
        <w:t>Upućivanje: članak 17. stavak 3. točka (h)</w:t>
      </w:r>
    </w:p>
    <w:p w14:paraId="75CFF992" w14:textId="77777777" w:rsidR="00CB4EBF" w:rsidRPr="001C431F" w:rsidRDefault="00CB4EBF" w:rsidP="00CB4EBF">
      <w:pPr>
        <w:spacing w:after="0" w:line="240" w:lineRule="auto"/>
        <w:jc w:val="both"/>
        <w:rPr>
          <w:rFonts w:eastAsia="Times New Roman" w:cs="Times New Roman"/>
          <w:noProof/>
          <w:color w:val="000000"/>
          <w:sz w:val="20"/>
          <w:szCs w:val="20"/>
        </w:rPr>
      </w:pPr>
    </w:p>
    <w:p w14:paraId="46A65F9B" w14:textId="77777777" w:rsidR="00CB4EBF" w:rsidRDefault="00CB4EBF" w:rsidP="00CB4EBF">
      <w:p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Komunikacija je izgradnja razumijevanja i ključ uspješne društvene promjene. Ona je usmjerena na misiju i na publiku te orijentirana na djelovanje. Osmišljena je strategija za postizanje tih ciljeva.</w:t>
      </w:r>
    </w:p>
    <w:p w14:paraId="77AEAA07" w14:textId="77777777" w:rsidR="00CB4EBF" w:rsidRPr="001C431F" w:rsidRDefault="00CB4EBF" w:rsidP="00CB4EBF">
      <w:pPr>
        <w:spacing w:after="0" w:line="240" w:lineRule="auto"/>
        <w:jc w:val="both"/>
        <w:rPr>
          <w:rFonts w:eastAsia="Times New Roman" w:cs="Times New Roman"/>
          <w:noProof/>
          <w:color w:val="000000"/>
          <w:sz w:val="20"/>
          <w:szCs w:val="20"/>
        </w:rPr>
      </w:pPr>
    </w:p>
    <w:p w14:paraId="02BDBDE4" w14:textId="77777777" w:rsidR="00CB4EBF" w:rsidRDefault="00CB4EBF" w:rsidP="00CB4EBF">
      <w:pPr>
        <w:pStyle w:val="BodyText"/>
        <w:jc w:val="both"/>
        <w:rPr>
          <w:rFonts w:ascii="Times New Roman" w:hAnsi="Times New Roman" w:cs="Times New Roman"/>
          <w:sz w:val="20"/>
          <w:szCs w:val="20"/>
        </w:rPr>
      </w:pPr>
      <w:r>
        <w:rPr>
          <w:rFonts w:ascii="Times New Roman" w:hAnsi="Times New Roman" w:cs="Times New Roman"/>
          <w:sz w:val="20"/>
          <w:szCs w:val="20"/>
          <w:lang w:val="hr"/>
        </w:rPr>
        <w:t xml:space="preserve">Oslanjajući se na iskustva prijašnjih programa između Mađarske i Hrvatske, i u novom će razdoblju naglasak biti na integraciji različitih kanala i alata za povećanje učinkovitosti. Stalna podrška pojedinačnim projektima u usklađivanju temeljne poruke programa, zajedničkog brenda </w:t>
      </w:r>
      <w:proofErr w:type="spellStart"/>
      <w:r>
        <w:rPr>
          <w:rFonts w:ascii="Times New Roman" w:hAnsi="Times New Roman" w:cs="Times New Roman"/>
          <w:sz w:val="20"/>
          <w:szCs w:val="20"/>
          <w:lang w:val="hr"/>
        </w:rPr>
        <w:t>Interrega</w:t>
      </w:r>
      <w:proofErr w:type="spellEnd"/>
      <w:r>
        <w:rPr>
          <w:rFonts w:ascii="Times New Roman" w:hAnsi="Times New Roman" w:cs="Times New Roman"/>
          <w:sz w:val="20"/>
          <w:szCs w:val="20"/>
          <w:lang w:val="hr"/>
        </w:rPr>
        <w:t xml:space="preserve"> i EU-a glavna je vodilja.</w:t>
      </w:r>
    </w:p>
    <w:p w14:paraId="442A844F" w14:textId="77777777" w:rsidR="00CB4EBF" w:rsidRDefault="00CB4EBF" w:rsidP="00CB4EBF">
      <w:pPr>
        <w:pStyle w:val="BodyText"/>
        <w:jc w:val="both"/>
        <w:rPr>
          <w:rFonts w:ascii="Times New Roman" w:hAnsi="Times New Roman" w:cs="Times New Roman"/>
          <w:sz w:val="20"/>
          <w:szCs w:val="20"/>
        </w:rPr>
      </w:pPr>
    </w:p>
    <w:p w14:paraId="2E22922F" w14:textId="77777777" w:rsidR="00CB4EBF" w:rsidRDefault="00CB4EBF" w:rsidP="00CB4EBF">
      <w:pPr>
        <w:pStyle w:val="BodyText"/>
        <w:jc w:val="both"/>
        <w:rPr>
          <w:rFonts w:ascii="Times New Roman" w:hAnsi="Times New Roman" w:cs="Times New Roman"/>
          <w:sz w:val="20"/>
          <w:szCs w:val="20"/>
        </w:rPr>
      </w:pPr>
      <w:r>
        <w:rPr>
          <w:rFonts w:ascii="Times New Roman" w:hAnsi="Times New Roman" w:cs="Times New Roman"/>
          <w:sz w:val="20"/>
          <w:szCs w:val="20"/>
          <w:lang w:val="hr"/>
        </w:rPr>
        <w:t>Komunikacija o djelovanju od strateške važnosti (ako je to slučaj) istaknuta je tijekom provedbe projekata i u širenja rezultata.</w:t>
      </w:r>
    </w:p>
    <w:p w14:paraId="7F4EEA7D" w14:textId="77777777" w:rsidR="00CB4EBF" w:rsidRPr="001C431F" w:rsidRDefault="00CB4EBF" w:rsidP="00CB4EBF">
      <w:pPr>
        <w:pStyle w:val="BodyText"/>
        <w:jc w:val="both"/>
        <w:rPr>
          <w:rFonts w:ascii="Times New Roman" w:hAnsi="Times New Roman" w:cs="Times New Roman"/>
          <w:sz w:val="20"/>
          <w:szCs w:val="20"/>
        </w:rPr>
      </w:pPr>
    </w:p>
    <w:p w14:paraId="1186C050" w14:textId="77777777" w:rsidR="00CB4EBF" w:rsidRDefault="00CB4EBF" w:rsidP="00CB4EBF">
      <w:pPr>
        <w:pStyle w:val="BodyText"/>
        <w:jc w:val="both"/>
        <w:rPr>
          <w:rFonts w:ascii="Times New Roman" w:hAnsi="Times New Roman" w:cs="Times New Roman"/>
          <w:sz w:val="20"/>
          <w:szCs w:val="20"/>
        </w:rPr>
      </w:pPr>
      <w:r>
        <w:rPr>
          <w:rFonts w:ascii="Times New Roman" w:hAnsi="Times New Roman" w:cs="Times New Roman"/>
          <w:sz w:val="20"/>
          <w:szCs w:val="20"/>
          <w:lang w:val="hr"/>
        </w:rPr>
        <w:t>Komunikacija je, kao horizontalna mjera, maksimalno zelena, a posebna se pažnja pridaje smanjenju proizvodnje otpada. Sva je komunikacija planirana vodeći računa o načelima jednakog pristupa i jednakih mogućnosti za sve.</w:t>
      </w:r>
    </w:p>
    <w:p w14:paraId="798C7D1F" w14:textId="77777777" w:rsidR="00CB4EBF" w:rsidRDefault="00CB4EBF" w:rsidP="00CB4EBF">
      <w:pPr>
        <w:pStyle w:val="BodyText"/>
        <w:jc w:val="both"/>
        <w:rPr>
          <w:rFonts w:ascii="Times New Roman" w:hAnsi="Times New Roman" w:cs="Times New Roman"/>
          <w:sz w:val="20"/>
          <w:szCs w:val="20"/>
        </w:rPr>
      </w:pPr>
    </w:p>
    <w:p w14:paraId="1DA91A15" w14:textId="77777777" w:rsidR="00CB4EBF" w:rsidRDefault="00CB4EBF" w:rsidP="00CB4EBF">
      <w:p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Ciljevi moraju biti specifični, mjerljivi, ostvarivi, usmjereni na rezultate i vremenski ograničeni:</w:t>
      </w:r>
    </w:p>
    <w:p w14:paraId="7B5A4901" w14:textId="77777777" w:rsidR="00CB4EBF" w:rsidRPr="001C431F" w:rsidRDefault="00CB4EBF" w:rsidP="00CB4EBF">
      <w:pPr>
        <w:pStyle w:val="BodyText"/>
        <w:jc w:val="both"/>
        <w:rPr>
          <w:rFonts w:ascii="Times New Roman" w:hAnsi="Times New Roman" w:cs="Times New Roman"/>
          <w:sz w:val="20"/>
          <w:szCs w:val="20"/>
        </w:rPr>
      </w:pPr>
      <w:r>
        <w:rPr>
          <w:rFonts w:ascii="Times New Roman" w:hAnsi="Times New Roman" w:cs="Times New Roman"/>
          <w:sz w:val="20"/>
          <w:szCs w:val="20"/>
          <w:lang w:val="hr"/>
        </w:rPr>
        <w:t>(1) Osiguravanje transparentnosti cjelokupnog procesa provedbe programa,</w:t>
      </w:r>
    </w:p>
    <w:p w14:paraId="51AFA01A" w14:textId="77777777" w:rsidR="00CB4EBF" w:rsidRPr="001C431F" w:rsidRDefault="00CB4EBF" w:rsidP="00CB4EBF">
      <w:pPr>
        <w:pStyle w:val="BodyText"/>
        <w:jc w:val="both"/>
        <w:rPr>
          <w:rFonts w:ascii="Times New Roman" w:hAnsi="Times New Roman" w:cs="Times New Roman"/>
          <w:sz w:val="20"/>
          <w:szCs w:val="20"/>
        </w:rPr>
      </w:pPr>
      <w:r>
        <w:rPr>
          <w:rFonts w:ascii="Times New Roman" w:hAnsi="Times New Roman" w:cs="Times New Roman"/>
          <w:sz w:val="20"/>
          <w:szCs w:val="20"/>
          <w:lang w:val="hr"/>
        </w:rPr>
        <w:t>(2) Poticanje zanimanja kod svih relevantnih ciljnih skupina,</w:t>
      </w:r>
    </w:p>
    <w:p w14:paraId="599DDF48" w14:textId="77777777" w:rsidR="00CB4EBF" w:rsidRPr="001C431F" w:rsidRDefault="00CB4EBF" w:rsidP="00CB4EBF">
      <w:pPr>
        <w:pStyle w:val="BodyText"/>
        <w:jc w:val="both"/>
        <w:rPr>
          <w:rFonts w:ascii="Times New Roman" w:hAnsi="Times New Roman" w:cs="Times New Roman"/>
          <w:sz w:val="20"/>
          <w:szCs w:val="20"/>
        </w:rPr>
      </w:pPr>
      <w:r>
        <w:rPr>
          <w:rFonts w:ascii="Times New Roman" w:hAnsi="Times New Roman" w:cs="Times New Roman"/>
          <w:sz w:val="20"/>
          <w:szCs w:val="20"/>
          <w:lang w:val="hr"/>
        </w:rPr>
        <w:t>(3) Pružanje dovoljnih informacija i uputa o zahtjevima provedbe za korisnike,</w:t>
      </w:r>
    </w:p>
    <w:p w14:paraId="188BC532" w14:textId="77777777" w:rsidR="00CB4EBF" w:rsidRPr="001C431F" w:rsidRDefault="00CB4EBF" w:rsidP="00CB4EBF">
      <w:pPr>
        <w:pStyle w:val="BodyText"/>
        <w:jc w:val="both"/>
        <w:rPr>
          <w:rFonts w:ascii="Times New Roman" w:hAnsi="Times New Roman" w:cs="Times New Roman"/>
          <w:sz w:val="20"/>
          <w:szCs w:val="20"/>
        </w:rPr>
      </w:pPr>
      <w:r>
        <w:rPr>
          <w:rFonts w:ascii="Times New Roman" w:hAnsi="Times New Roman" w:cs="Times New Roman"/>
          <w:sz w:val="20"/>
          <w:szCs w:val="20"/>
          <w:lang w:val="hr"/>
        </w:rPr>
        <w:t>(4) Uključivanje građana za aktivniji i pozitivniji pristup EU-u i njegovim institucijama,</w:t>
      </w:r>
    </w:p>
    <w:p w14:paraId="4518C231" w14:textId="77777777" w:rsidR="00CB4EBF" w:rsidRPr="001C431F" w:rsidRDefault="00CB4EBF" w:rsidP="00CB4EBF">
      <w:pPr>
        <w:pStyle w:val="BodyText"/>
        <w:jc w:val="both"/>
        <w:rPr>
          <w:rFonts w:ascii="Times New Roman" w:hAnsi="Times New Roman" w:cs="Times New Roman"/>
          <w:sz w:val="20"/>
          <w:szCs w:val="20"/>
        </w:rPr>
      </w:pPr>
      <w:r>
        <w:rPr>
          <w:rFonts w:ascii="Times New Roman" w:hAnsi="Times New Roman" w:cs="Times New Roman"/>
          <w:sz w:val="20"/>
          <w:szCs w:val="20"/>
          <w:lang w:val="hr"/>
        </w:rPr>
        <w:t>(5) Osiguravanje stalnog protoka informacija među različitim strukturama provedbe programa.</w:t>
      </w:r>
    </w:p>
    <w:p w14:paraId="61DEA006" w14:textId="77777777" w:rsidR="00CB4EBF" w:rsidRDefault="00CB4EBF" w:rsidP="00CB4EBF">
      <w:pPr>
        <w:pStyle w:val="BodyText"/>
        <w:jc w:val="both"/>
        <w:rPr>
          <w:rFonts w:ascii="Times New Roman" w:hAnsi="Times New Roman" w:cs="Times New Roman"/>
          <w:i/>
          <w:sz w:val="20"/>
          <w:szCs w:val="20"/>
        </w:rPr>
      </w:pPr>
    </w:p>
    <w:p w14:paraId="34ADF84C" w14:textId="77777777" w:rsidR="00CB4EBF" w:rsidRPr="001C431F" w:rsidRDefault="00CB4EBF" w:rsidP="00CB4EBF">
      <w:pPr>
        <w:pStyle w:val="BodyText"/>
        <w:jc w:val="both"/>
        <w:rPr>
          <w:rFonts w:ascii="Times New Roman" w:hAnsi="Times New Roman" w:cs="Times New Roman"/>
          <w:i/>
          <w:sz w:val="20"/>
          <w:szCs w:val="20"/>
        </w:rPr>
      </w:pPr>
      <w:r>
        <w:rPr>
          <w:rFonts w:ascii="Times New Roman" w:hAnsi="Times New Roman" w:cs="Times New Roman"/>
          <w:i/>
          <w:iCs/>
          <w:sz w:val="20"/>
          <w:szCs w:val="20"/>
          <w:lang w:val="hr"/>
        </w:rPr>
        <w:t>Pokazatelji:</w:t>
      </w:r>
    </w:p>
    <w:p w14:paraId="111B4797" w14:textId="77777777" w:rsidR="00CB4EBF" w:rsidRPr="001C431F" w:rsidRDefault="00CB4EBF" w:rsidP="00CB4EBF">
      <w:pPr>
        <w:pStyle w:val="BodyText"/>
        <w:jc w:val="both"/>
        <w:rPr>
          <w:rFonts w:ascii="Times New Roman" w:hAnsi="Times New Roman" w:cs="Times New Roman"/>
          <w:sz w:val="20"/>
          <w:szCs w:val="20"/>
        </w:rPr>
      </w:pPr>
      <w:r>
        <w:rPr>
          <w:rFonts w:ascii="Times New Roman" w:hAnsi="Times New Roman" w:cs="Times New Roman"/>
          <w:sz w:val="20"/>
          <w:szCs w:val="20"/>
          <w:lang w:val="hr"/>
        </w:rPr>
        <w:t>(cilj 1) Povećanje broja objavljenih članaka,</w:t>
      </w:r>
    </w:p>
    <w:p w14:paraId="5E96265F" w14:textId="77777777" w:rsidR="00CB4EBF" w:rsidRPr="001C431F" w:rsidRDefault="00CB4EBF" w:rsidP="00CB4EBF">
      <w:pPr>
        <w:pStyle w:val="BodyText"/>
        <w:jc w:val="both"/>
        <w:rPr>
          <w:rFonts w:ascii="Times New Roman" w:hAnsi="Times New Roman" w:cs="Times New Roman"/>
          <w:sz w:val="20"/>
          <w:szCs w:val="20"/>
        </w:rPr>
      </w:pPr>
      <w:r>
        <w:rPr>
          <w:rFonts w:ascii="Times New Roman" w:hAnsi="Times New Roman" w:cs="Times New Roman"/>
          <w:sz w:val="20"/>
          <w:szCs w:val="20"/>
          <w:lang w:val="hr"/>
        </w:rPr>
        <w:t>(cilj 2) Povećanje broja sudionika javnih događanja,</w:t>
      </w:r>
    </w:p>
    <w:p w14:paraId="414B0565" w14:textId="77777777" w:rsidR="00CB4EBF" w:rsidRPr="001C431F" w:rsidRDefault="00CB4EBF" w:rsidP="00CB4EBF">
      <w:pPr>
        <w:pStyle w:val="BodyText"/>
        <w:jc w:val="both"/>
        <w:rPr>
          <w:rFonts w:ascii="Times New Roman" w:hAnsi="Times New Roman" w:cs="Times New Roman"/>
          <w:sz w:val="20"/>
          <w:szCs w:val="20"/>
        </w:rPr>
      </w:pPr>
      <w:r>
        <w:rPr>
          <w:rFonts w:ascii="Times New Roman" w:hAnsi="Times New Roman" w:cs="Times New Roman"/>
          <w:sz w:val="20"/>
          <w:szCs w:val="20"/>
          <w:lang w:val="hr"/>
        </w:rPr>
        <w:t>(cilj 2) Ostvaren određen broj kontakata putem društvenih mreža,</w:t>
      </w:r>
    </w:p>
    <w:p w14:paraId="761AC955" w14:textId="77777777" w:rsidR="00CB4EBF" w:rsidRPr="001C431F" w:rsidRDefault="00CB4EBF" w:rsidP="00CB4EBF">
      <w:pPr>
        <w:pStyle w:val="BodyText"/>
        <w:jc w:val="both"/>
        <w:rPr>
          <w:rFonts w:ascii="Times New Roman" w:hAnsi="Times New Roman" w:cs="Times New Roman"/>
          <w:sz w:val="20"/>
          <w:szCs w:val="20"/>
        </w:rPr>
      </w:pPr>
      <w:r>
        <w:rPr>
          <w:rFonts w:ascii="Times New Roman" w:hAnsi="Times New Roman" w:cs="Times New Roman"/>
          <w:sz w:val="20"/>
          <w:szCs w:val="20"/>
          <w:lang w:val="hr"/>
        </w:rPr>
        <w:t>(cilj 3) Povećanje broja posjeta internetskoj stranici,</w:t>
      </w:r>
    </w:p>
    <w:p w14:paraId="7CAAB351" w14:textId="77777777" w:rsidR="00CB4EBF" w:rsidRPr="001C431F" w:rsidRDefault="00CB4EBF" w:rsidP="00CB4EBF">
      <w:pPr>
        <w:pStyle w:val="BodyText"/>
        <w:jc w:val="both"/>
        <w:rPr>
          <w:rFonts w:ascii="Times New Roman" w:hAnsi="Times New Roman" w:cs="Times New Roman"/>
          <w:sz w:val="20"/>
          <w:szCs w:val="20"/>
        </w:rPr>
      </w:pPr>
      <w:r>
        <w:rPr>
          <w:rFonts w:ascii="Times New Roman" w:hAnsi="Times New Roman" w:cs="Times New Roman"/>
          <w:sz w:val="20"/>
          <w:szCs w:val="20"/>
          <w:lang w:val="hr"/>
        </w:rPr>
        <w:t>(cilj 4) Ostvaren određen broj projekata s imenovanim voditeljem komunikacija,</w:t>
      </w:r>
    </w:p>
    <w:p w14:paraId="3BAE2AEE" w14:textId="77777777" w:rsidR="00CB4EBF" w:rsidRPr="001C431F" w:rsidRDefault="00CB4EBF" w:rsidP="00CB4EBF">
      <w:pPr>
        <w:pStyle w:val="BodyText"/>
        <w:jc w:val="both"/>
        <w:rPr>
          <w:rFonts w:ascii="Times New Roman" w:hAnsi="Times New Roman" w:cs="Times New Roman"/>
          <w:sz w:val="20"/>
          <w:szCs w:val="20"/>
        </w:rPr>
      </w:pPr>
      <w:r>
        <w:rPr>
          <w:rFonts w:ascii="Times New Roman" w:hAnsi="Times New Roman" w:cs="Times New Roman"/>
          <w:sz w:val="20"/>
          <w:szCs w:val="20"/>
          <w:lang w:val="hr"/>
        </w:rPr>
        <w:t>(cilj 4) Povećanje broja građana na mađarsko-hrvatskom pograničnom području kojima su poznate aktivnosti prekogranične suradnje u regiji koje financira EU,</w:t>
      </w:r>
    </w:p>
    <w:p w14:paraId="23B1B3B8" w14:textId="77777777" w:rsidR="00CB4EBF" w:rsidRPr="001C431F" w:rsidRDefault="00CB4EBF" w:rsidP="00CB4EBF">
      <w:pPr>
        <w:pStyle w:val="BodyText"/>
        <w:jc w:val="both"/>
        <w:rPr>
          <w:rFonts w:ascii="Times New Roman" w:hAnsi="Times New Roman" w:cs="Times New Roman"/>
          <w:sz w:val="20"/>
          <w:szCs w:val="20"/>
        </w:rPr>
      </w:pPr>
      <w:r>
        <w:rPr>
          <w:rFonts w:ascii="Times New Roman" w:hAnsi="Times New Roman" w:cs="Times New Roman"/>
          <w:sz w:val="20"/>
          <w:szCs w:val="20"/>
          <w:lang w:val="hr"/>
        </w:rPr>
        <w:t>(cilj 5) Pozitivna evaluacija interne komunikacije.</w:t>
      </w:r>
    </w:p>
    <w:p w14:paraId="734869B7" w14:textId="77777777" w:rsidR="00CB4EBF" w:rsidRDefault="00CB4EBF" w:rsidP="00CB4EBF">
      <w:pPr>
        <w:pStyle w:val="BodyText"/>
        <w:jc w:val="both"/>
        <w:rPr>
          <w:rFonts w:ascii="Times New Roman" w:hAnsi="Times New Roman" w:cs="Times New Roman"/>
          <w:i/>
          <w:sz w:val="20"/>
          <w:szCs w:val="20"/>
        </w:rPr>
      </w:pPr>
    </w:p>
    <w:p w14:paraId="3C0C8372" w14:textId="77777777" w:rsidR="00CB4EBF" w:rsidRPr="001C431F" w:rsidRDefault="00CB4EBF" w:rsidP="00CB4EBF">
      <w:pPr>
        <w:pStyle w:val="BodyText"/>
        <w:jc w:val="both"/>
        <w:rPr>
          <w:rFonts w:ascii="Times New Roman" w:hAnsi="Times New Roman" w:cs="Times New Roman"/>
          <w:sz w:val="20"/>
          <w:szCs w:val="20"/>
        </w:rPr>
      </w:pPr>
      <w:r>
        <w:rPr>
          <w:rFonts w:ascii="Times New Roman" w:hAnsi="Times New Roman" w:cs="Times New Roman"/>
          <w:sz w:val="20"/>
          <w:szCs w:val="20"/>
          <w:lang w:val="hr"/>
        </w:rPr>
        <w:t>Ciljne skupine uključuju (potencijalne) sudionike u projektima, relevantna tijela javne vlasti na lokalnoj, regionalnoj i nacionalnoj razini, profesionalne udruge i poslovne zajednice, gospodarske i socijalne partnere, nevladine organizacije, nositelje i promotore projekta, širu javnost, strukture koje provode programe, EU institucije i medije.</w:t>
      </w:r>
    </w:p>
    <w:p w14:paraId="471B90E5" w14:textId="77777777" w:rsidR="00CB4EBF" w:rsidRDefault="00CB4EBF" w:rsidP="00CB4EBF">
      <w:pPr>
        <w:pStyle w:val="BodyText"/>
        <w:jc w:val="both"/>
        <w:rPr>
          <w:rFonts w:ascii="Times New Roman" w:hAnsi="Times New Roman" w:cs="Times New Roman"/>
          <w:i/>
          <w:sz w:val="20"/>
          <w:szCs w:val="20"/>
        </w:rPr>
      </w:pPr>
    </w:p>
    <w:p w14:paraId="07926AED" w14:textId="77777777" w:rsidR="00CB4EBF" w:rsidRPr="001C431F" w:rsidRDefault="00CB4EBF" w:rsidP="00CB4EBF">
      <w:pPr>
        <w:pStyle w:val="BodyText"/>
        <w:jc w:val="both"/>
        <w:rPr>
          <w:rFonts w:ascii="Times New Roman" w:hAnsi="Times New Roman" w:cs="Times New Roman"/>
          <w:sz w:val="20"/>
          <w:szCs w:val="20"/>
        </w:rPr>
      </w:pPr>
      <w:r>
        <w:rPr>
          <w:rFonts w:ascii="Times New Roman" w:hAnsi="Times New Roman" w:cs="Times New Roman"/>
          <w:sz w:val="20"/>
          <w:szCs w:val="20"/>
          <w:lang w:val="hr"/>
        </w:rPr>
        <w:t>Kao središnje skladište svih informacija predviđen je integrirani internetski portal, kao i za izravan pristup kanalima programa na društvenim medijima. Poseban je odjeljak posvećen razmjeni informacija između tijela za provedbu programa, kao i bazi podataka s resursima za komunikacijske aktivnosti podržanih operacija.</w:t>
      </w:r>
    </w:p>
    <w:p w14:paraId="171CAF63" w14:textId="77777777" w:rsidR="00CB4EBF" w:rsidRPr="001C431F" w:rsidRDefault="00CB4EBF" w:rsidP="00CB4EBF">
      <w:pPr>
        <w:pStyle w:val="BodyText"/>
        <w:jc w:val="both"/>
        <w:rPr>
          <w:rFonts w:ascii="Times New Roman" w:hAnsi="Times New Roman" w:cs="Times New Roman"/>
          <w:i/>
          <w:sz w:val="20"/>
          <w:szCs w:val="20"/>
        </w:rPr>
      </w:pPr>
    </w:p>
    <w:p w14:paraId="42811FAA" w14:textId="77777777" w:rsidR="00CB4EBF" w:rsidRDefault="00CB4EBF" w:rsidP="00CB4EBF">
      <w:pPr>
        <w:pStyle w:val="BodyText"/>
        <w:jc w:val="both"/>
        <w:rPr>
          <w:rFonts w:ascii="Times New Roman" w:hAnsi="Times New Roman" w:cs="Times New Roman"/>
          <w:sz w:val="20"/>
          <w:szCs w:val="20"/>
        </w:rPr>
      </w:pPr>
      <w:r>
        <w:rPr>
          <w:rFonts w:ascii="Times New Roman" w:hAnsi="Times New Roman" w:cs="Times New Roman"/>
          <w:sz w:val="20"/>
          <w:szCs w:val="20"/>
          <w:lang w:val="hr"/>
        </w:rPr>
        <w:t>Jedni od najčešće upotrjebljavanih komunikacijskih alata za krajnje korisnike bili su događaji na razini programa i projekta, a poslužili su i kao jedan od glavnih izvora informacija o programu za širu javnost. Zadržavaju se kao redovita značajka programa. Kad to bude moguće s obzirom na javnozdravstvene uvjete u dvije države članice, naglasak će biti na događajima srednjeg i većeg razmjera (i tematskim, npr. Europski dan suradnje, Tjedan regija EU-a) kako bi se osigurao interes medija i sinergije multifunkcionalnog pristupa organizaciji događanja. Kako bi se osigurala što šira publika, oslanjajući se na pouke naučene tijekom pandemije bolesti COVID-19, događaji će biti dostupni u digitalnom obliku, kao i uz publiku uživo, kad god je to moguće.</w:t>
      </w:r>
    </w:p>
    <w:p w14:paraId="6EA88729" w14:textId="77777777" w:rsidR="00CB4EBF" w:rsidRPr="001C431F" w:rsidRDefault="00CB4EBF" w:rsidP="00CB4EBF">
      <w:pPr>
        <w:pStyle w:val="BodyText"/>
        <w:jc w:val="both"/>
        <w:rPr>
          <w:rFonts w:ascii="Times New Roman" w:hAnsi="Times New Roman" w:cs="Times New Roman"/>
          <w:i/>
          <w:sz w:val="20"/>
          <w:szCs w:val="20"/>
        </w:rPr>
      </w:pPr>
    </w:p>
    <w:p w14:paraId="525617E5" w14:textId="77777777" w:rsidR="00CB4EBF" w:rsidRPr="001C431F" w:rsidRDefault="00CB4EBF" w:rsidP="00CB4EBF">
      <w:pPr>
        <w:pStyle w:val="BodyText"/>
        <w:jc w:val="both"/>
        <w:rPr>
          <w:rFonts w:ascii="Times New Roman" w:hAnsi="Times New Roman" w:cs="Times New Roman"/>
          <w:sz w:val="20"/>
          <w:szCs w:val="20"/>
        </w:rPr>
      </w:pPr>
      <w:r>
        <w:rPr>
          <w:rFonts w:ascii="Times New Roman" w:hAnsi="Times New Roman" w:cs="Times New Roman"/>
          <w:sz w:val="20"/>
          <w:szCs w:val="20"/>
          <w:lang w:val="hr"/>
        </w:rPr>
        <w:t>Tiskani su materijali svedeni na minimum i prednost se daje digitalnoj verziji i širenju, a tiskani se primjerci proizvode samo u iznimnim slučajevima. Svi su promotivni materijali izrađeni uzimajući u obzir njihovu namjenu, ciljanog primatelja i, ako je to moguće, njihovu ponovnu upotrebu.</w:t>
      </w:r>
    </w:p>
    <w:p w14:paraId="4BDF8A87" w14:textId="77777777" w:rsidR="00CB4EBF" w:rsidRDefault="00CB4EBF" w:rsidP="00CB4EBF">
      <w:pPr>
        <w:pStyle w:val="BodyText"/>
        <w:jc w:val="both"/>
        <w:rPr>
          <w:rFonts w:ascii="Times New Roman" w:hAnsi="Times New Roman" w:cs="Times New Roman"/>
          <w:sz w:val="20"/>
          <w:szCs w:val="20"/>
        </w:rPr>
      </w:pPr>
    </w:p>
    <w:p w14:paraId="59D22AD1" w14:textId="77777777" w:rsidR="00CB4EBF" w:rsidRDefault="00CB4EBF" w:rsidP="00CB4EBF">
      <w:pPr>
        <w:pStyle w:val="BodyText"/>
        <w:jc w:val="both"/>
        <w:rPr>
          <w:rFonts w:ascii="Times New Roman" w:hAnsi="Times New Roman" w:cs="Times New Roman"/>
          <w:sz w:val="20"/>
          <w:szCs w:val="20"/>
        </w:rPr>
      </w:pPr>
      <w:r>
        <w:rPr>
          <w:rFonts w:ascii="Times New Roman" w:hAnsi="Times New Roman" w:cs="Times New Roman"/>
          <w:sz w:val="20"/>
          <w:szCs w:val="20"/>
          <w:lang w:val="hr"/>
        </w:rPr>
        <w:t xml:space="preserve">Kako bi već uspostavljeni odnos s medijima napredovao, programom se želi postići </w:t>
      </w:r>
      <w:proofErr w:type="spellStart"/>
      <w:r>
        <w:rPr>
          <w:rFonts w:ascii="Times New Roman" w:hAnsi="Times New Roman" w:cs="Times New Roman"/>
          <w:sz w:val="20"/>
          <w:szCs w:val="20"/>
          <w:lang w:val="hr"/>
        </w:rPr>
        <w:t>proaktivniji</w:t>
      </w:r>
      <w:proofErr w:type="spellEnd"/>
      <w:r>
        <w:rPr>
          <w:rFonts w:ascii="Times New Roman" w:hAnsi="Times New Roman" w:cs="Times New Roman"/>
          <w:sz w:val="20"/>
          <w:szCs w:val="20"/>
          <w:lang w:val="hr"/>
        </w:rPr>
        <w:t xml:space="preserve"> pristup s proizvodnjom više gotovih informacija o programu, čime će se osigurati točnost i primjerenost informacija. Predstavnici su medija pozvani na sva javna događanja koja se organiziraju u okviru programa i na raspolaganju će imati priopćenja za javnost i druge popratne materijale i informacije.</w:t>
      </w:r>
    </w:p>
    <w:p w14:paraId="6EC18298" w14:textId="77777777" w:rsidR="00CB4EBF" w:rsidRPr="001C431F" w:rsidRDefault="00CB4EBF" w:rsidP="00CB4EBF">
      <w:pPr>
        <w:pStyle w:val="BodyText"/>
        <w:jc w:val="both"/>
        <w:rPr>
          <w:rFonts w:ascii="Times New Roman" w:hAnsi="Times New Roman" w:cs="Times New Roman"/>
          <w:sz w:val="20"/>
          <w:szCs w:val="20"/>
        </w:rPr>
      </w:pPr>
    </w:p>
    <w:p w14:paraId="10BBE5ED" w14:textId="77777777" w:rsidR="00CB4EBF" w:rsidRDefault="00CB4EBF" w:rsidP="00CB4EBF">
      <w:pPr>
        <w:pStyle w:val="BodyText"/>
        <w:jc w:val="both"/>
        <w:rPr>
          <w:rFonts w:ascii="Times New Roman" w:hAnsi="Times New Roman" w:cs="Times New Roman"/>
          <w:sz w:val="20"/>
          <w:szCs w:val="20"/>
        </w:rPr>
      </w:pPr>
      <w:r>
        <w:rPr>
          <w:rFonts w:ascii="Times New Roman" w:hAnsi="Times New Roman" w:cs="Times New Roman"/>
          <w:sz w:val="20"/>
          <w:szCs w:val="20"/>
          <w:lang w:val="hr"/>
        </w:rPr>
        <w:t xml:space="preserve">Elementi vizualnog identiteta programa (u ažuriranom obliku) ostaju u uporabi u mjeri u kojoj je to moguće uzimajući u obzir pravila o vizualnom identitetu EU-a i brenda </w:t>
      </w:r>
      <w:proofErr w:type="spellStart"/>
      <w:r>
        <w:rPr>
          <w:rFonts w:ascii="Times New Roman" w:hAnsi="Times New Roman" w:cs="Times New Roman"/>
          <w:sz w:val="20"/>
          <w:szCs w:val="20"/>
          <w:lang w:val="hr"/>
        </w:rPr>
        <w:t>Interrega</w:t>
      </w:r>
      <w:proofErr w:type="spellEnd"/>
      <w:r>
        <w:rPr>
          <w:rFonts w:ascii="Times New Roman" w:hAnsi="Times New Roman" w:cs="Times New Roman"/>
          <w:sz w:val="20"/>
          <w:szCs w:val="20"/>
          <w:lang w:val="hr"/>
        </w:rPr>
        <w:t>; točna pravila bit će detaljno navedena u dokumentima na razini programa.</w:t>
      </w:r>
    </w:p>
    <w:p w14:paraId="13706D5F" w14:textId="77777777" w:rsidR="00CB4EBF" w:rsidRPr="001C431F" w:rsidRDefault="00CB4EBF" w:rsidP="00CB4EBF">
      <w:pPr>
        <w:pStyle w:val="BodyText"/>
        <w:jc w:val="both"/>
        <w:rPr>
          <w:rFonts w:ascii="Times New Roman" w:hAnsi="Times New Roman" w:cs="Times New Roman"/>
          <w:sz w:val="20"/>
          <w:szCs w:val="20"/>
        </w:rPr>
      </w:pPr>
    </w:p>
    <w:p w14:paraId="5B2098CC" w14:textId="77777777" w:rsidR="00CB4EBF" w:rsidRPr="001C431F" w:rsidRDefault="00CB4EBF" w:rsidP="00CB4EBF">
      <w:pPr>
        <w:pStyle w:val="BodyText"/>
        <w:jc w:val="both"/>
        <w:rPr>
          <w:rFonts w:ascii="Times New Roman" w:hAnsi="Times New Roman" w:cs="Times New Roman"/>
          <w:sz w:val="20"/>
          <w:szCs w:val="20"/>
        </w:rPr>
      </w:pPr>
      <w:r>
        <w:rPr>
          <w:rFonts w:ascii="Times New Roman" w:hAnsi="Times New Roman" w:cs="Times New Roman"/>
          <w:sz w:val="20"/>
          <w:szCs w:val="20"/>
          <w:lang w:val="hr"/>
        </w:rPr>
        <w:t>Uz sve ostale komunikacijske alate i kanale, u odgovarajućim prilikama kada se procijeni da je nužan poseban ciljani pristup, upotrebljavat će se i izravna e-pošta i telefonski pozivi (linija za pomoć).</w:t>
      </w:r>
    </w:p>
    <w:p w14:paraId="0C92A84C" w14:textId="77777777" w:rsidR="00CB4EBF" w:rsidRDefault="00CB4EBF" w:rsidP="00CB4EBF">
      <w:pPr>
        <w:pStyle w:val="BodyText"/>
        <w:jc w:val="both"/>
        <w:rPr>
          <w:rFonts w:ascii="Times New Roman" w:hAnsi="Times New Roman" w:cs="Times New Roman"/>
          <w:i/>
          <w:sz w:val="20"/>
          <w:szCs w:val="20"/>
        </w:rPr>
      </w:pPr>
    </w:p>
    <w:p w14:paraId="714F2B72" w14:textId="77777777" w:rsidR="00CB4EBF" w:rsidRPr="001C431F" w:rsidRDefault="00CB4EBF" w:rsidP="00CB4EBF">
      <w:pPr>
        <w:pStyle w:val="BodyText"/>
        <w:jc w:val="both"/>
        <w:rPr>
          <w:rFonts w:ascii="Times New Roman" w:hAnsi="Times New Roman" w:cs="Times New Roman"/>
          <w:sz w:val="20"/>
          <w:szCs w:val="20"/>
        </w:rPr>
      </w:pPr>
      <w:r>
        <w:rPr>
          <w:rFonts w:ascii="Times New Roman" w:hAnsi="Times New Roman" w:cs="Times New Roman"/>
          <w:noProof/>
          <w:color w:val="000000"/>
          <w:sz w:val="20"/>
          <w:szCs w:val="20"/>
          <w:lang w:val="hr"/>
        </w:rPr>
        <w:t xml:space="preserve">Provedba komunikacijskih aktivnosti u okviru nadležnosti zajedničkog tajništva osigurava se dodjelom komunikacijskog voditelja na temelju povjerenja upravljačkog tijela u skladu s člankom 36. stavkom 1. Uredbe o Interregu. Troškovi tehničke pomoći za komunikacijske aktivnosti doseći će granicu postavljenu kao zahtjev na razini EU-a. </w:t>
      </w:r>
      <w:r>
        <w:rPr>
          <w:rFonts w:ascii="Times New Roman" w:hAnsi="Times New Roman" w:cs="Times New Roman"/>
          <w:sz w:val="20"/>
          <w:szCs w:val="20"/>
          <w:lang w:val="hr"/>
        </w:rPr>
        <w:t>Razmatrat će se isplativost komunikacijskih aktivnosti kad god je to moguće i primijenit će se razumna potrošnja kad god je to izvedivo, uključujući široku primjenu digitalnih materijala i alata, upotrebe besplatnih prostora za događanja i privlačenje pozornosti medija inovativnim i kreativnim pristupom.</w:t>
      </w:r>
    </w:p>
    <w:p w14:paraId="0542AB54" w14:textId="77777777" w:rsidR="00CB4EBF" w:rsidRPr="001C431F" w:rsidRDefault="00CB4EBF" w:rsidP="00CB4EBF">
      <w:pPr>
        <w:spacing w:after="0" w:line="240" w:lineRule="auto"/>
        <w:jc w:val="both"/>
        <w:rPr>
          <w:rFonts w:eastAsia="Times New Roman" w:cs="Times New Roman"/>
          <w:noProof/>
          <w:color w:val="000000"/>
          <w:sz w:val="20"/>
          <w:szCs w:val="20"/>
        </w:rPr>
      </w:pPr>
    </w:p>
    <w:p w14:paraId="69B3732E" w14:textId="77777777" w:rsidR="00CB4EBF" w:rsidRPr="001C431F" w:rsidRDefault="00CB4EBF" w:rsidP="00CB4EBF">
      <w:pPr>
        <w:spacing w:after="0" w:line="240" w:lineRule="auto"/>
        <w:ind w:left="709"/>
        <w:jc w:val="both"/>
        <w:rPr>
          <w:rFonts w:eastAsia="Times New Roman" w:cs="Times New Roman"/>
          <w:b/>
          <w:iCs/>
          <w:noProof/>
          <w:sz w:val="20"/>
          <w:szCs w:val="20"/>
        </w:rPr>
      </w:pPr>
    </w:p>
    <w:p w14:paraId="2456985C" w14:textId="77777777" w:rsidR="00CB4EBF" w:rsidRPr="001C431F" w:rsidRDefault="00CB4EBF" w:rsidP="00CB4EBF">
      <w:pPr>
        <w:numPr>
          <w:ilvl w:val="0"/>
          <w:numId w:val="31"/>
        </w:numPr>
        <w:spacing w:after="0" w:line="240" w:lineRule="auto"/>
        <w:ind w:left="709" w:hanging="709"/>
        <w:jc w:val="both"/>
        <w:rPr>
          <w:rFonts w:eastAsia="Times New Roman" w:cs="Times New Roman"/>
          <w:b/>
          <w:iCs/>
          <w:noProof/>
          <w:sz w:val="20"/>
          <w:szCs w:val="20"/>
        </w:rPr>
      </w:pPr>
      <w:r>
        <w:rPr>
          <w:rFonts w:eastAsia="Times New Roman" w:cs="Times New Roman"/>
          <w:noProof/>
          <w:sz w:val="20"/>
          <w:szCs w:val="20"/>
          <w:lang w:val="hr"/>
        </w:rPr>
        <w:tab/>
      </w:r>
      <w:bookmarkStart w:id="7" w:name="_Hlk98772411"/>
      <w:r>
        <w:rPr>
          <w:rFonts w:eastAsia="Times New Roman" w:cs="Times New Roman"/>
          <w:b/>
          <w:bCs/>
          <w:noProof/>
          <w:sz w:val="20"/>
          <w:szCs w:val="20"/>
          <w:lang w:val="hr"/>
        </w:rPr>
        <w:t>Navođenje potpore manjim projektima</w:t>
      </w:r>
      <w:bookmarkEnd w:id="7"/>
      <w:r>
        <w:rPr>
          <w:rFonts w:eastAsia="Times New Roman" w:cs="Times New Roman"/>
          <w:b/>
          <w:bCs/>
          <w:noProof/>
          <w:sz w:val="20"/>
          <w:szCs w:val="20"/>
          <w:lang w:val="hr"/>
        </w:rPr>
        <w:t xml:space="preserve">, što obuhvaća male projekte u okviru fondova za male projekte. </w:t>
      </w:r>
    </w:p>
    <w:p w14:paraId="291FC36F" w14:textId="77777777" w:rsidR="00CB4EBF" w:rsidRPr="001C431F" w:rsidRDefault="00CB4EBF" w:rsidP="00CB4EBF">
      <w:pPr>
        <w:spacing w:after="0"/>
        <w:jc w:val="both"/>
        <w:rPr>
          <w:rFonts w:eastAsia="Times New Roman" w:cs="Times New Roman"/>
          <w:bCs/>
          <w:i/>
          <w:iCs/>
          <w:noProof/>
          <w:sz w:val="20"/>
          <w:szCs w:val="20"/>
        </w:rPr>
      </w:pPr>
      <w:r>
        <w:rPr>
          <w:rFonts w:cs="Times New Roman"/>
          <w:i/>
          <w:iCs/>
          <w:color w:val="000000"/>
          <w:sz w:val="20"/>
          <w:szCs w:val="20"/>
          <w:lang w:val="hr"/>
        </w:rPr>
        <w:t xml:space="preserve">Upućivanje: </w:t>
      </w:r>
      <w:r>
        <w:rPr>
          <w:rFonts w:cs="Times New Roman"/>
          <w:i/>
          <w:iCs/>
          <w:noProof/>
          <w:sz w:val="20"/>
          <w:szCs w:val="20"/>
          <w:lang w:val="hr"/>
        </w:rPr>
        <w:t>članak 17. stavak 3. točka (i), članak 24.</w:t>
      </w:r>
    </w:p>
    <w:p w14:paraId="42995423" w14:textId="77777777" w:rsidR="00CB4EBF" w:rsidRDefault="00CB4EBF" w:rsidP="00CB4EBF">
      <w:pPr>
        <w:pStyle w:val="BodyText"/>
        <w:jc w:val="both"/>
        <w:rPr>
          <w:rFonts w:ascii="Times New Roman" w:hAnsi="Times New Roman" w:cs="Times New Roman"/>
          <w:sz w:val="20"/>
          <w:szCs w:val="20"/>
        </w:rPr>
      </w:pPr>
    </w:p>
    <w:p w14:paraId="0F3DA240" w14:textId="77777777" w:rsidR="00CB4EBF" w:rsidRDefault="00CB4EBF" w:rsidP="00CB4EBF">
      <w:pPr>
        <w:pStyle w:val="BodyText"/>
        <w:jc w:val="both"/>
        <w:rPr>
          <w:rFonts w:ascii="Times New Roman" w:hAnsi="Times New Roman" w:cs="Times New Roman"/>
          <w:sz w:val="20"/>
          <w:szCs w:val="20"/>
        </w:rPr>
      </w:pPr>
      <w:r>
        <w:rPr>
          <w:rFonts w:ascii="Times New Roman" w:hAnsi="Times New Roman" w:cs="Times New Roman"/>
          <w:sz w:val="20"/>
          <w:szCs w:val="20"/>
          <w:lang w:val="hr"/>
        </w:rPr>
        <w:t xml:space="preserve">Programom će se podržati manji projekti prema točki (a) članka 24. Uredbe o </w:t>
      </w:r>
      <w:proofErr w:type="spellStart"/>
      <w:r>
        <w:rPr>
          <w:rFonts w:ascii="Times New Roman" w:hAnsi="Times New Roman" w:cs="Times New Roman"/>
          <w:sz w:val="20"/>
          <w:szCs w:val="20"/>
          <w:lang w:val="hr"/>
        </w:rPr>
        <w:t>Interregu</w:t>
      </w:r>
      <w:proofErr w:type="spellEnd"/>
      <w:r>
        <w:rPr>
          <w:rFonts w:ascii="Times New Roman" w:hAnsi="Times New Roman" w:cs="Times New Roman"/>
          <w:sz w:val="20"/>
          <w:szCs w:val="20"/>
          <w:lang w:val="hr"/>
        </w:rPr>
        <w:t xml:space="preserve">, što znači da će takvim operacijama biti pružena izravna potpora, i </w:t>
      </w:r>
      <w:r>
        <w:rPr>
          <w:rFonts w:ascii="Times New Roman" w:hAnsi="Times New Roman" w:cs="Times New Roman"/>
          <w:sz w:val="20"/>
          <w:szCs w:val="20"/>
          <w:u w:val="single"/>
          <w:lang w:val="hr"/>
        </w:rPr>
        <w:t>da će se / da se neće</w:t>
      </w:r>
      <w:r>
        <w:rPr>
          <w:rFonts w:ascii="Times New Roman" w:hAnsi="Times New Roman" w:cs="Times New Roman"/>
          <w:sz w:val="20"/>
          <w:szCs w:val="20"/>
          <w:lang w:val="hr"/>
        </w:rPr>
        <w:t xml:space="preserve"> podržati manji projektni fond kako je omogućeno člankom 25. Uredbe o </w:t>
      </w:r>
      <w:proofErr w:type="spellStart"/>
      <w:r>
        <w:rPr>
          <w:rFonts w:ascii="Times New Roman" w:hAnsi="Times New Roman" w:cs="Times New Roman"/>
          <w:sz w:val="20"/>
          <w:szCs w:val="20"/>
          <w:lang w:val="hr"/>
        </w:rPr>
        <w:t>Interregu</w:t>
      </w:r>
      <w:proofErr w:type="spellEnd"/>
      <w:r>
        <w:rPr>
          <w:rFonts w:ascii="Times New Roman" w:hAnsi="Times New Roman" w:cs="Times New Roman"/>
          <w:sz w:val="20"/>
          <w:szCs w:val="20"/>
          <w:lang w:val="hr"/>
        </w:rPr>
        <w:t>.</w:t>
      </w:r>
      <w:r>
        <w:rPr>
          <w:rStyle w:val="FootnoteReference"/>
          <w:rFonts w:ascii="Times New Roman" w:hAnsi="Times New Roman" w:cs="Times New Roman"/>
          <w:sz w:val="20"/>
          <w:szCs w:val="20"/>
          <w:lang w:val="hr"/>
        </w:rPr>
        <w:footnoteReference w:id="7"/>
      </w:r>
    </w:p>
    <w:p w14:paraId="4A863B6E" w14:textId="77777777" w:rsidR="00CB4EBF" w:rsidRPr="001C431F" w:rsidRDefault="00CB4EBF" w:rsidP="00CB4EBF">
      <w:pPr>
        <w:pStyle w:val="BodyText"/>
        <w:jc w:val="both"/>
        <w:rPr>
          <w:rFonts w:ascii="Times New Roman" w:hAnsi="Times New Roman" w:cs="Times New Roman"/>
          <w:sz w:val="20"/>
          <w:szCs w:val="20"/>
        </w:rPr>
      </w:pPr>
    </w:p>
    <w:p w14:paraId="1AA2BE0F" w14:textId="77777777" w:rsidR="00CB4EBF" w:rsidRPr="001C431F" w:rsidRDefault="00CB4EBF" w:rsidP="00CB4EBF">
      <w:pPr>
        <w:pStyle w:val="BodyText"/>
        <w:jc w:val="both"/>
        <w:rPr>
          <w:rFonts w:ascii="Times New Roman" w:hAnsi="Times New Roman" w:cs="Times New Roman"/>
          <w:sz w:val="20"/>
          <w:szCs w:val="20"/>
        </w:rPr>
      </w:pPr>
      <w:r>
        <w:rPr>
          <w:rFonts w:ascii="Times New Roman" w:hAnsi="Times New Roman" w:cs="Times New Roman"/>
          <w:sz w:val="20"/>
          <w:szCs w:val="20"/>
          <w:lang w:val="hr"/>
        </w:rPr>
        <w:t xml:space="preserve">Tijekom prošlih programa na mađarsko-hrvatskoj granici koje je financirala EU (PHARE </w:t>
      </w:r>
      <w:proofErr w:type="spellStart"/>
      <w:r>
        <w:rPr>
          <w:rFonts w:ascii="Times New Roman" w:hAnsi="Times New Roman" w:cs="Times New Roman"/>
          <w:sz w:val="20"/>
          <w:szCs w:val="20"/>
          <w:lang w:val="hr"/>
        </w:rPr>
        <w:t>CBC</w:t>
      </w:r>
      <w:proofErr w:type="spellEnd"/>
      <w:r>
        <w:rPr>
          <w:rFonts w:ascii="Times New Roman" w:hAnsi="Times New Roman" w:cs="Times New Roman"/>
          <w:sz w:val="20"/>
          <w:szCs w:val="20"/>
          <w:lang w:val="hr"/>
        </w:rPr>
        <w:t xml:space="preserve">, </w:t>
      </w:r>
      <w:proofErr w:type="spellStart"/>
      <w:r>
        <w:rPr>
          <w:rFonts w:ascii="Times New Roman" w:hAnsi="Times New Roman" w:cs="Times New Roman"/>
          <w:sz w:val="20"/>
          <w:szCs w:val="20"/>
          <w:lang w:val="hr"/>
        </w:rPr>
        <w:t>Interreg</w:t>
      </w:r>
      <w:proofErr w:type="spellEnd"/>
      <w:r>
        <w:rPr>
          <w:rFonts w:ascii="Times New Roman" w:hAnsi="Times New Roman" w:cs="Times New Roman"/>
          <w:sz w:val="20"/>
          <w:szCs w:val="20"/>
          <w:lang w:val="hr"/>
        </w:rPr>
        <w:t xml:space="preserve"> </w:t>
      </w:r>
      <w:proofErr w:type="spellStart"/>
      <w:r>
        <w:rPr>
          <w:rFonts w:ascii="Times New Roman" w:hAnsi="Times New Roman" w:cs="Times New Roman"/>
          <w:sz w:val="20"/>
          <w:szCs w:val="20"/>
          <w:lang w:val="hr"/>
        </w:rPr>
        <w:t>IIIA</w:t>
      </w:r>
      <w:proofErr w:type="spellEnd"/>
      <w:r>
        <w:rPr>
          <w:rFonts w:ascii="Times New Roman" w:hAnsi="Times New Roman" w:cs="Times New Roman"/>
          <w:sz w:val="20"/>
          <w:szCs w:val="20"/>
          <w:lang w:val="hr"/>
        </w:rPr>
        <w:t xml:space="preserve">, IPA </w:t>
      </w:r>
      <w:proofErr w:type="spellStart"/>
      <w:r>
        <w:rPr>
          <w:rFonts w:ascii="Times New Roman" w:hAnsi="Times New Roman" w:cs="Times New Roman"/>
          <w:sz w:val="20"/>
          <w:szCs w:val="20"/>
          <w:lang w:val="hr"/>
        </w:rPr>
        <w:t>CBC</w:t>
      </w:r>
      <w:proofErr w:type="spellEnd"/>
      <w:r>
        <w:rPr>
          <w:rFonts w:ascii="Times New Roman" w:hAnsi="Times New Roman" w:cs="Times New Roman"/>
          <w:sz w:val="20"/>
          <w:szCs w:val="20"/>
          <w:lang w:val="hr"/>
        </w:rPr>
        <w:t xml:space="preserve"> i </w:t>
      </w:r>
      <w:proofErr w:type="spellStart"/>
      <w:r>
        <w:rPr>
          <w:rFonts w:ascii="Times New Roman" w:hAnsi="Times New Roman" w:cs="Times New Roman"/>
          <w:sz w:val="20"/>
          <w:szCs w:val="20"/>
          <w:lang w:val="hr"/>
        </w:rPr>
        <w:t>Interreg</w:t>
      </w:r>
      <w:proofErr w:type="spellEnd"/>
      <w:r>
        <w:rPr>
          <w:rFonts w:ascii="Times New Roman" w:hAnsi="Times New Roman" w:cs="Times New Roman"/>
          <w:sz w:val="20"/>
          <w:szCs w:val="20"/>
          <w:lang w:val="hr"/>
        </w:rPr>
        <w:t xml:space="preserve"> V-A), manji su projekti bili u središtu suradnje. Mnogi dionici u ovoj pograničnoj regiji shvaćaju da unapređenje suradnje ne ovisi nužno o iznosu dodijeljenih sredstava, već da se manjim projektima često mogu stvoriti mnoge nove veze i može širiti kulturu prekograničnog planiranja i djelovanja jednako kao i većim projektima. To je razlog zašto su u sve prošle programe bili uključeni projekti „od građana za građane” kao jedno od područja suradnje, s obzirom na to da su oni bili najbolji primjeri za sjajne rezultate uz umjerenu količinu potrošnje.</w:t>
      </w:r>
    </w:p>
    <w:p w14:paraId="706209C8" w14:textId="77777777" w:rsidR="00CB4EBF" w:rsidRDefault="00CB4EBF" w:rsidP="00CB4EBF">
      <w:pPr>
        <w:pStyle w:val="BodyText"/>
        <w:jc w:val="both"/>
        <w:rPr>
          <w:rFonts w:ascii="Times New Roman" w:hAnsi="Times New Roman" w:cs="Times New Roman"/>
          <w:sz w:val="20"/>
          <w:szCs w:val="20"/>
        </w:rPr>
      </w:pPr>
      <w:r>
        <w:rPr>
          <w:rFonts w:ascii="Times New Roman" w:hAnsi="Times New Roman" w:cs="Times New Roman"/>
          <w:sz w:val="20"/>
          <w:szCs w:val="20"/>
          <w:lang w:val="hr"/>
        </w:rPr>
        <w:t>Opsegom određenog projekta određuje se radi li se o manjem projektu ili uobičajenom projektu. Treba postojati mogućnost podnošenja i upravljanja manjim projektima u svim ciljevima politike i specifičnim ciljevima. U slučaju svih ostalih ciljeva politika pozivima za podnošenje prijedloga odredit će se treba li zadržati zasebnu raspodjelu za manje projekte i kako će se oni morati prijaviti i provesti u okviru određenog cilja politika / specifičnog cilja. Kako bi se povećala sve veća skupina korisnika, programom će se pokušati proširiti uobičajeni krug potencijalnih podnositelja zahtjeva uključivanjem sve više organizacija u manje projekte, na primjer neprofitne organizacije civilnog društva, stručne organizacije, obrazovne organizacije, servisi socijalnog rada i socijalne skrbi, organizacije za upravljanje turističkim odredištima ili profesionalne turističke organizacije, kulturne ustanove i organizacije prekogranične suradnje, među ostalim.</w:t>
      </w:r>
    </w:p>
    <w:p w14:paraId="7C1E30AB" w14:textId="77777777" w:rsidR="00CB4EBF" w:rsidRPr="001C431F" w:rsidRDefault="00CB4EBF" w:rsidP="00CB4EBF">
      <w:pPr>
        <w:pStyle w:val="BodyText"/>
        <w:jc w:val="both"/>
        <w:rPr>
          <w:rFonts w:ascii="Times New Roman" w:hAnsi="Times New Roman" w:cs="Times New Roman"/>
          <w:sz w:val="20"/>
          <w:szCs w:val="20"/>
        </w:rPr>
      </w:pPr>
    </w:p>
    <w:p w14:paraId="2D3E096E" w14:textId="77777777" w:rsidR="00CB4EBF" w:rsidRPr="001C431F" w:rsidRDefault="00CB4EBF" w:rsidP="00CB4EBF">
      <w:pPr>
        <w:pStyle w:val="BodyText"/>
        <w:jc w:val="both"/>
        <w:rPr>
          <w:rFonts w:ascii="Times New Roman" w:hAnsi="Times New Roman" w:cs="Times New Roman"/>
          <w:sz w:val="20"/>
          <w:szCs w:val="20"/>
        </w:rPr>
      </w:pPr>
      <w:r>
        <w:rPr>
          <w:rFonts w:ascii="Times New Roman" w:hAnsi="Times New Roman" w:cs="Times New Roman"/>
          <w:sz w:val="20"/>
          <w:szCs w:val="20"/>
          <w:lang w:val="hr"/>
        </w:rPr>
        <w:lastRenderedPageBreak/>
        <w:t>Da bi se zadovoljile potrebe potencijalnih podnositelja zahtjeva i korisnika koji se obično prijavljuju za financiranje u okviru manjih projekata, programom će se uspostaviti posebne odredbe za ovu kategoriju projekata, npr. manja okvirna veličina projekta, ograničen broj partnerskih organizacija u jednom projektu i ograničeno trajanje projekta. Korisnici će manjih projekata u najvećoj mogućoj mjeri upotrebljavati pojednostavljene opcije troškova koje se nude u programu, a ograničenim korištenjem stvarnih troškova pridonijet će se jednostavnijem izvješćivanju, kontroli i bržem vršenju nadoknade. Odbor za praćenje / odbor za upravljanje utvrđuje detaljna pravila prije svakog poziva na podnošenje prijedloga i zasebno za svaki relevantni cilj politika.</w:t>
      </w:r>
    </w:p>
    <w:p w14:paraId="3FFC9DCC" w14:textId="77777777" w:rsidR="00CB4EBF" w:rsidRPr="001C431F" w:rsidRDefault="00CB4EBF" w:rsidP="00CB4EBF">
      <w:pPr>
        <w:spacing w:after="0"/>
        <w:rPr>
          <w:rFonts w:cs="Times New Roman"/>
          <w:sz w:val="20"/>
          <w:szCs w:val="20"/>
        </w:rPr>
      </w:pPr>
    </w:p>
    <w:p w14:paraId="593E76F8" w14:textId="77777777" w:rsidR="00CB4EBF" w:rsidRPr="001C431F" w:rsidRDefault="00CB4EBF" w:rsidP="00CB4EBF">
      <w:pPr>
        <w:numPr>
          <w:ilvl w:val="0"/>
          <w:numId w:val="31"/>
        </w:numPr>
        <w:spacing w:after="0" w:line="240" w:lineRule="auto"/>
        <w:ind w:left="709" w:hanging="709"/>
        <w:jc w:val="both"/>
        <w:rPr>
          <w:rFonts w:eastAsia="Times New Roman" w:cs="Times New Roman"/>
          <w:b/>
          <w:iCs/>
          <w:noProof/>
          <w:sz w:val="20"/>
          <w:szCs w:val="20"/>
        </w:rPr>
      </w:pPr>
      <w:r>
        <w:rPr>
          <w:rFonts w:eastAsia="Times New Roman" w:cs="Times New Roman"/>
          <w:b/>
          <w:bCs/>
          <w:noProof/>
          <w:sz w:val="20"/>
          <w:szCs w:val="20"/>
          <w:lang w:val="hr"/>
        </w:rPr>
        <w:t>Provedbene odredbe</w:t>
      </w:r>
    </w:p>
    <w:p w14:paraId="4C66FC75"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r>
        <w:rPr>
          <w:rFonts w:eastAsia="Times New Roman" w:cs="Times New Roman"/>
          <w:b/>
          <w:bCs/>
          <w:noProof/>
          <w:sz w:val="20"/>
          <w:szCs w:val="20"/>
          <w:lang w:val="hr"/>
        </w:rPr>
        <w:t>7.1.</w:t>
      </w:r>
      <w:r>
        <w:rPr>
          <w:rFonts w:eastAsia="Times New Roman" w:cs="Times New Roman"/>
          <w:b/>
          <w:bCs/>
          <w:noProof/>
          <w:sz w:val="20"/>
          <w:szCs w:val="20"/>
          <w:lang w:val="hr"/>
        </w:rPr>
        <w:tab/>
        <w:t xml:space="preserve">Programska tijela </w:t>
      </w:r>
    </w:p>
    <w:p w14:paraId="25EFF1B7" w14:textId="77777777" w:rsidR="00CB4EBF" w:rsidRPr="001C431F" w:rsidRDefault="00CB4EBF" w:rsidP="00CB4EBF">
      <w:pPr>
        <w:spacing w:after="0" w:line="240" w:lineRule="auto"/>
        <w:jc w:val="both"/>
        <w:rPr>
          <w:rFonts w:eastAsia="Times New Roman" w:cs="Times New Roman"/>
          <w:b/>
          <w:i/>
          <w:iCs/>
          <w:noProof/>
          <w:sz w:val="20"/>
          <w:szCs w:val="20"/>
        </w:rPr>
      </w:pPr>
      <w:r>
        <w:rPr>
          <w:rFonts w:eastAsia="Times New Roman" w:cs="Times New Roman"/>
          <w:i/>
          <w:iCs/>
          <w:noProof/>
          <w:color w:val="000000"/>
          <w:sz w:val="20"/>
          <w:szCs w:val="20"/>
          <w:lang w:val="hr"/>
        </w:rPr>
        <w:t>Upućivanje: članak 17. stavak 6. točka (a)</w:t>
      </w:r>
    </w:p>
    <w:p w14:paraId="0118D1D3" w14:textId="77777777" w:rsidR="00CB4EBF" w:rsidRPr="001C431F" w:rsidRDefault="00CB4EBF" w:rsidP="00CB4EBF">
      <w:pPr>
        <w:pStyle w:val="ListParagraph"/>
        <w:spacing w:after="0" w:line="240" w:lineRule="auto"/>
        <w:ind w:left="360"/>
        <w:jc w:val="both"/>
        <w:rPr>
          <w:rFonts w:eastAsia="Times New Roman" w:cs="Times New Roman"/>
          <w:b/>
          <w:i/>
          <w:iCs/>
          <w:noProof/>
          <w:sz w:val="20"/>
          <w:szCs w:val="20"/>
        </w:rPr>
      </w:pPr>
      <w:r>
        <w:rPr>
          <w:rFonts w:eastAsia="Times New Roman" w:cs="Times New Roman"/>
          <w:b/>
          <w:bCs/>
          <w:i/>
          <w:iCs/>
          <w:noProof/>
          <w:sz w:val="20"/>
          <w:szCs w:val="20"/>
          <w:lang w:val="hr"/>
        </w:rPr>
        <w:t>Tablica 9.</w:t>
      </w:r>
    </w:p>
    <w:tbl>
      <w:tblPr>
        <w:tblStyle w:val="TableGrid"/>
        <w:tblW w:w="0" w:type="auto"/>
        <w:tblLook w:val="04A0" w:firstRow="1" w:lastRow="0" w:firstColumn="1" w:lastColumn="0" w:noHBand="0" w:noVBand="1"/>
      </w:tblPr>
      <w:tblGrid>
        <w:gridCol w:w="2559"/>
        <w:gridCol w:w="2459"/>
        <w:gridCol w:w="2400"/>
        <w:gridCol w:w="2210"/>
      </w:tblGrid>
      <w:tr w:rsidR="00CB4EBF" w:rsidRPr="00A23750" w14:paraId="077F1403" w14:textId="77777777" w:rsidTr="0054762C">
        <w:tc>
          <w:tcPr>
            <w:tcW w:w="2610" w:type="dxa"/>
          </w:tcPr>
          <w:p w14:paraId="3036450C" w14:textId="77777777" w:rsidR="00CB4EBF" w:rsidRPr="001C431F" w:rsidRDefault="00CB4EBF" w:rsidP="0054762C">
            <w:pPr>
              <w:jc w:val="both"/>
              <w:rPr>
                <w:rFonts w:cs="Times New Roman"/>
                <w:b/>
                <w:noProof/>
                <w:sz w:val="20"/>
                <w:szCs w:val="20"/>
              </w:rPr>
            </w:pPr>
            <w:r>
              <w:rPr>
                <w:rFonts w:cs="Times New Roman"/>
                <w:b/>
                <w:bCs/>
                <w:noProof/>
                <w:sz w:val="20"/>
                <w:szCs w:val="20"/>
                <w:lang w:val="hr"/>
              </w:rPr>
              <w:t xml:space="preserve">Programska tijela </w:t>
            </w:r>
          </w:p>
        </w:tc>
        <w:tc>
          <w:tcPr>
            <w:tcW w:w="2518" w:type="dxa"/>
          </w:tcPr>
          <w:p w14:paraId="2D03BC72" w14:textId="77777777" w:rsidR="00CB4EBF" w:rsidRPr="001C431F" w:rsidRDefault="00CB4EBF" w:rsidP="0054762C">
            <w:pPr>
              <w:jc w:val="both"/>
              <w:rPr>
                <w:rFonts w:cs="Times New Roman"/>
                <w:b/>
                <w:noProof/>
                <w:sz w:val="20"/>
                <w:szCs w:val="20"/>
              </w:rPr>
            </w:pPr>
            <w:r>
              <w:rPr>
                <w:rFonts w:cs="Times New Roman"/>
                <w:b/>
                <w:bCs/>
                <w:noProof/>
                <w:sz w:val="20"/>
                <w:szCs w:val="20"/>
                <w:lang w:val="hr"/>
              </w:rPr>
              <w:t xml:space="preserve">Ime ustanove </w:t>
            </w:r>
            <w:r>
              <w:rPr>
                <w:rFonts w:cs="Times New Roman"/>
                <w:noProof/>
                <w:sz w:val="20"/>
                <w:szCs w:val="20"/>
                <w:lang w:val="hr"/>
              </w:rPr>
              <w:t>[255]</w:t>
            </w:r>
          </w:p>
        </w:tc>
        <w:tc>
          <w:tcPr>
            <w:tcW w:w="2460" w:type="dxa"/>
          </w:tcPr>
          <w:p w14:paraId="036133A7" w14:textId="77777777" w:rsidR="00CB4EBF" w:rsidRPr="001C431F" w:rsidRDefault="00CB4EBF" w:rsidP="0054762C">
            <w:pPr>
              <w:jc w:val="both"/>
              <w:rPr>
                <w:rFonts w:cs="Times New Roman"/>
                <w:b/>
                <w:noProof/>
                <w:sz w:val="20"/>
                <w:szCs w:val="20"/>
              </w:rPr>
            </w:pPr>
            <w:r>
              <w:rPr>
                <w:rFonts w:cs="Times New Roman"/>
                <w:b/>
                <w:bCs/>
                <w:noProof/>
                <w:sz w:val="20"/>
                <w:szCs w:val="20"/>
                <w:lang w:val="hr"/>
              </w:rPr>
              <w:t>Osoba za kontakt</w:t>
            </w:r>
            <w:r>
              <w:rPr>
                <w:rFonts w:cs="Times New Roman"/>
                <w:noProof/>
                <w:sz w:val="20"/>
                <w:szCs w:val="20"/>
                <w:lang w:val="hr"/>
              </w:rPr>
              <w:t xml:space="preserve"> [200]</w:t>
            </w:r>
          </w:p>
        </w:tc>
        <w:tc>
          <w:tcPr>
            <w:tcW w:w="2266" w:type="dxa"/>
          </w:tcPr>
          <w:p w14:paraId="43073B69" w14:textId="77777777" w:rsidR="00CB4EBF" w:rsidRPr="001C431F" w:rsidRDefault="00CB4EBF" w:rsidP="0054762C">
            <w:pPr>
              <w:jc w:val="both"/>
              <w:rPr>
                <w:rFonts w:cs="Times New Roman"/>
                <w:b/>
                <w:noProof/>
                <w:sz w:val="20"/>
                <w:szCs w:val="20"/>
              </w:rPr>
            </w:pPr>
            <w:r>
              <w:rPr>
                <w:rFonts w:cs="Times New Roman"/>
                <w:b/>
                <w:bCs/>
                <w:noProof/>
                <w:sz w:val="20"/>
                <w:szCs w:val="20"/>
                <w:lang w:val="hr"/>
              </w:rPr>
              <w:t>E-adresa</w:t>
            </w:r>
            <w:r>
              <w:rPr>
                <w:rFonts w:cs="Times New Roman"/>
                <w:noProof/>
                <w:sz w:val="20"/>
                <w:szCs w:val="20"/>
                <w:lang w:val="hr"/>
              </w:rPr>
              <w:t xml:space="preserve"> [200]</w:t>
            </w:r>
          </w:p>
        </w:tc>
      </w:tr>
      <w:tr w:rsidR="00CB4EBF" w:rsidRPr="00A23750" w14:paraId="25ABA8D3" w14:textId="77777777" w:rsidTr="0054762C">
        <w:tc>
          <w:tcPr>
            <w:tcW w:w="2610" w:type="dxa"/>
          </w:tcPr>
          <w:p w14:paraId="312F5F41" w14:textId="77777777" w:rsidR="00CB4EBF" w:rsidRPr="001C431F" w:rsidRDefault="00CB4EBF" w:rsidP="0054762C">
            <w:pPr>
              <w:jc w:val="both"/>
              <w:rPr>
                <w:rFonts w:cs="Times New Roman"/>
                <w:noProof/>
                <w:sz w:val="20"/>
                <w:szCs w:val="20"/>
              </w:rPr>
            </w:pPr>
            <w:r>
              <w:rPr>
                <w:rFonts w:cs="Times New Roman"/>
                <w:noProof/>
                <w:sz w:val="20"/>
                <w:szCs w:val="20"/>
                <w:lang w:val="hr"/>
              </w:rPr>
              <w:t>Upravljačko tijelo</w:t>
            </w:r>
          </w:p>
        </w:tc>
        <w:tc>
          <w:tcPr>
            <w:tcW w:w="2518" w:type="dxa"/>
          </w:tcPr>
          <w:p w14:paraId="016601E1" w14:textId="77777777" w:rsidR="00CB4EBF" w:rsidRPr="001C431F" w:rsidRDefault="00CB4EBF" w:rsidP="0054762C">
            <w:pPr>
              <w:jc w:val="both"/>
              <w:rPr>
                <w:rFonts w:cs="Times New Roman"/>
                <w:noProof/>
                <w:sz w:val="20"/>
                <w:szCs w:val="20"/>
              </w:rPr>
            </w:pPr>
          </w:p>
        </w:tc>
        <w:tc>
          <w:tcPr>
            <w:tcW w:w="2460" w:type="dxa"/>
          </w:tcPr>
          <w:p w14:paraId="4162D03B" w14:textId="77777777" w:rsidR="00CB4EBF" w:rsidRPr="001C431F" w:rsidRDefault="00CB4EBF" w:rsidP="0054762C">
            <w:pPr>
              <w:jc w:val="both"/>
              <w:rPr>
                <w:rFonts w:cs="Times New Roman"/>
                <w:noProof/>
                <w:sz w:val="20"/>
                <w:szCs w:val="20"/>
              </w:rPr>
            </w:pPr>
          </w:p>
        </w:tc>
        <w:tc>
          <w:tcPr>
            <w:tcW w:w="2266" w:type="dxa"/>
          </w:tcPr>
          <w:p w14:paraId="06DB49D2" w14:textId="77777777" w:rsidR="00CB4EBF" w:rsidRPr="001C431F" w:rsidRDefault="00CB4EBF" w:rsidP="0054762C">
            <w:pPr>
              <w:jc w:val="both"/>
              <w:rPr>
                <w:rFonts w:cs="Times New Roman"/>
                <w:noProof/>
                <w:sz w:val="20"/>
                <w:szCs w:val="20"/>
              </w:rPr>
            </w:pPr>
          </w:p>
        </w:tc>
      </w:tr>
      <w:tr w:rsidR="00CB4EBF" w:rsidRPr="00A23750" w14:paraId="41FED660" w14:textId="77777777" w:rsidTr="0054762C">
        <w:tc>
          <w:tcPr>
            <w:tcW w:w="2610" w:type="dxa"/>
          </w:tcPr>
          <w:p w14:paraId="45786E95" w14:textId="77777777" w:rsidR="00CB4EBF" w:rsidRPr="001C431F" w:rsidRDefault="00CB4EBF" w:rsidP="0054762C">
            <w:pPr>
              <w:jc w:val="both"/>
              <w:rPr>
                <w:rFonts w:cs="Times New Roman"/>
                <w:noProof/>
                <w:sz w:val="20"/>
                <w:szCs w:val="20"/>
              </w:rPr>
            </w:pPr>
            <w:r>
              <w:rPr>
                <w:rFonts w:cs="Times New Roman"/>
                <w:noProof/>
                <w:sz w:val="20"/>
                <w:szCs w:val="20"/>
                <w:lang w:val="hr"/>
              </w:rPr>
              <w:t>Nacionalno tijelo (za programe s trećim zemljama sudionicama ili partnerskim zemljama sudionicama, ako je to primjenjivo)</w:t>
            </w:r>
          </w:p>
        </w:tc>
        <w:tc>
          <w:tcPr>
            <w:tcW w:w="2518" w:type="dxa"/>
          </w:tcPr>
          <w:p w14:paraId="3837325B" w14:textId="77777777" w:rsidR="00CB4EBF" w:rsidRPr="001C431F" w:rsidRDefault="00CB4EBF" w:rsidP="0054762C">
            <w:pPr>
              <w:jc w:val="both"/>
              <w:rPr>
                <w:rFonts w:cs="Times New Roman"/>
                <w:noProof/>
                <w:sz w:val="20"/>
                <w:szCs w:val="20"/>
              </w:rPr>
            </w:pPr>
          </w:p>
        </w:tc>
        <w:tc>
          <w:tcPr>
            <w:tcW w:w="2460" w:type="dxa"/>
          </w:tcPr>
          <w:p w14:paraId="389399F0" w14:textId="77777777" w:rsidR="00CB4EBF" w:rsidRPr="001C431F" w:rsidRDefault="00CB4EBF" w:rsidP="0054762C">
            <w:pPr>
              <w:jc w:val="both"/>
              <w:rPr>
                <w:rFonts w:cs="Times New Roman"/>
                <w:noProof/>
                <w:sz w:val="20"/>
                <w:szCs w:val="20"/>
              </w:rPr>
            </w:pPr>
          </w:p>
        </w:tc>
        <w:tc>
          <w:tcPr>
            <w:tcW w:w="2266" w:type="dxa"/>
          </w:tcPr>
          <w:p w14:paraId="11854D9A" w14:textId="77777777" w:rsidR="00CB4EBF" w:rsidRPr="001C431F" w:rsidRDefault="00CB4EBF" w:rsidP="0054762C">
            <w:pPr>
              <w:jc w:val="both"/>
              <w:rPr>
                <w:rFonts w:cs="Times New Roman"/>
                <w:noProof/>
                <w:sz w:val="20"/>
                <w:szCs w:val="20"/>
              </w:rPr>
            </w:pPr>
          </w:p>
        </w:tc>
      </w:tr>
      <w:tr w:rsidR="00CB4EBF" w:rsidRPr="00A23750" w14:paraId="1DF5FC94" w14:textId="77777777" w:rsidTr="0054762C">
        <w:tc>
          <w:tcPr>
            <w:tcW w:w="2610" w:type="dxa"/>
          </w:tcPr>
          <w:p w14:paraId="6872FB03" w14:textId="77777777" w:rsidR="00CB4EBF" w:rsidRPr="001C431F" w:rsidRDefault="00CB4EBF" w:rsidP="0054762C">
            <w:pPr>
              <w:jc w:val="both"/>
              <w:rPr>
                <w:rFonts w:cs="Times New Roman"/>
                <w:noProof/>
                <w:sz w:val="20"/>
                <w:szCs w:val="20"/>
              </w:rPr>
            </w:pPr>
            <w:r>
              <w:rPr>
                <w:rFonts w:cs="Times New Roman"/>
                <w:noProof/>
                <w:sz w:val="20"/>
                <w:szCs w:val="20"/>
                <w:lang w:val="hr"/>
              </w:rPr>
              <w:t>Tijelo za reviziju</w:t>
            </w:r>
          </w:p>
        </w:tc>
        <w:tc>
          <w:tcPr>
            <w:tcW w:w="2518" w:type="dxa"/>
          </w:tcPr>
          <w:p w14:paraId="1E148FA3" w14:textId="77777777" w:rsidR="00CB4EBF" w:rsidRPr="001C431F" w:rsidRDefault="00CB4EBF" w:rsidP="0054762C">
            <w:pPr>
              <w:jc w:val="both"/>
              <w:rPr>
                <w:rFonts w:cs="Times New Roman"/>
                <w:noProof/>
                <w:sz w:val="20"/>
                <w:szCs w:val="20"/>
              </w:rPr>
            </w:pPr>
          </w:p>
        </w:tc>
        <w:tc>
          <w:tcPr>
            <w:tcW w:w="2460" w:type="dxa"/>
          </w:tcPr>
          <w:p w14:paraId="15D7291F" w14:textId="77777777" w:rsidR="00CB4EBF" w:rsidRPr="001C431F" w:rsidRDefault="00CB4EBF" w:rsidP="0054762C">
            <w:pPr>
              <w:jc w:val="both"/>
              <w:rPr>
                <w:rFonts w:cs="Times New Roman"/>
                <w:noProof/>
                <w:sz w:val="20"/>
                <w:szCs w:val="20"/>
              </w:rPr>
            </w:pPr>
          </w:p>
        </w:tc>
        <w:tc>
          <w:tcPr>
            <w:tcW w:w="2266" w:type="dxa"/>
          </w:tcPr>
          <w:p w14:paraId="7A5159FB" w14:textId="77777777" w:rsidR="00CB4EBF" w:rsidRPr="001C431F" w:rsidRDefault="00CB4EBF" w:rsidP="0054762C">
            <w:pPr>
              <w:jc w:val="both"/>
              <w:rPr>
                <w:rFonts w:cs="Times New Roman"/>
                <w:noProof/>
                <w:sz w:val="20"/>
                <w:szCs w:val="20"/>
              </w:rPr>
            </w:pPr>
          </w:p>
        </w:tc>
      </w:tr>
      <w:tr w:rsidR="00CB4EBF" w:rsidRPr="00A23750" w14:paraId="19043D85" w14:textId="77777777" w:rsidTr="0054762C">
        <w:tc>
          <w:tcPr>
            <w:tcW w:w="2610" w:type="dxa"/>
          </w:tcPr>
          <w:p w14:paraId="00E78021" w14:textId="77777777" w:rsidR="00CB4EBF" w:rsidRPr="001C431F" w:rsidRDefault="00CB4EBF" w:rsidP="0054762C">
            <w:pPr>
              <w:jc w:val="both"/>
              <w:rPr>
                <w:rFonts w:cs="Times New Roman"/>
                <w:noProof/>
                <w:sz w:val="20"/>
                <w:szCs w:val="20"/>
              </w:rPr>
            </w:pPr>
            <w:r>
              <w:rPr>
                <w:rFonts w:cs="Times New Roman"/>
                <w:noProof/>
                <w:sz w:val="20"/>
                <w:szCs w:val="20"/>
                <w:lang w:val="hr"/>
              </w:rPr>
              <w:t>Skupina predstavnika revizora (za programe s trećim zemljama sudionicama ili partnerskim zemljama sudionicama, ako je to primjenjivo)</w:t>
            </w:r>
          </w:p>
        </w:tc>
        <w:tc>
          <w:tcPr>
            <w:tcW w:w="2518" w:type="dxa"/>
          </w:tcPr>
          <w:p w14:paraId="4C2B149B" w14:textId="77777777" w:rsidR="00CB4EBF" w:rsidRPr="001C431F" w:rsidRDefault="00CB4EBF" w:rsidP="0054762C">
            <w:pPr>
              <w:jc w:val="both"/>
              <w:rPr>
                <w:rFonts w:cs="Times New Roman"/>
                <w:noProof/>
                <w:sz w:val="20"/>
                <w:szCs w:val="20"/>
              </w:rPr>
            </w:pPr>
          </w:p>
        </w:tc>
        <w:tc>
          <w:tcPr>
            <w:tcW w:w="2460" w:type="dxa"/>
          </w:tcPr>
          <w:p w14:paraId="2BC25501" w14:textId="77777777" w:rsidR="00CB4EBF" w:rsidRPr="001C431F" w:rsidRDefault="00CB4EBF" w:rsidP="0054762C">
            <w:pPr>
              <w:jc w:val="both"/>
              <w:rPr>
                <w:rFonts w:cs="Times New Roman"/>
                <w:noProof/>
                <w:sz w:val="20"/>
                <w:szCs w:val="20"/>
              </w:rPr>
            </w:pPr>
          </w:p>
        </w:tc>
        <w:tc>
          <w:tcPr>
            <w:tcW w:w="2266" w:type="dxa"/>
          </w:tcPr>
          <w:p w14:paraId="5943CC5F" w14:textId="77777777" w:rsidR="00CB4EBF" w:rsidRPr="001C431F" w:rsidRDefault="00CB4EBF" w:rsidP="0054762C">
            <w:pPr>
              <w:jc w:val="both"/>
              <w:rPr>
                <w:rFonts w:cs="Times New Roman"/>
                <w:noProof/>
                <w:sz w:val="20"/>
                <w:szCs w:val="20"/>
              </w:rPr>
            </w:pPr>
          </w:p>
        </w:tc>
      </w:tr>
      <w:tr w:rsidR="00CB4EBF" w:rsidRPr="00A23750" w14:paraId="51E99B62" w14:textId="77777777" w:rsidTr="0054762C">
        <w:tc>
          <w:tcPr>
            <w:tcW w:w="2610" w:type="dxa"/>
          </w:tcPr>
          <w:p w14:paraId="52B8C519" w14:textId="77777777" w:rsidR="00CB4EBF" w:rsidRPr="001C431F" w:rsidRDefault="00CB4EBF" w:rsidP="0054762C">
            <w:pPr>
              <w:jc w:val="both"/>
              <w:rPr>
                <w:rFonts w:cs="Times New Roman"/>
                <w:noProof/>
                <w:sz w:val="20"/>
                <w:szCs w:val="20"/>
              </w:rPr>
            </w:pPr>
            <w:r>
              <w:rPr>
                <w:rFonts w:cs="Times New Roman"/>
                <w:noProof/>
                <w:sz w:val="20"/>
                <w:szCs w:val="20"/>
                <w:lang w:val="hr"/>
              </w:rPr>
              <w:t>Tijelo kojemu Komisija treba izvršavati isplate</w:t>
            </w:r>
          </w:p>
        </w:tc>
        <w:tc>
          <w:tcPr>
            <w:tcW w:w="2518" w:type="dxa"/>
          </w:tcPr>
          <w:p w14:paraId="156E2940" w14:textId="77777777" w:rsidR="00CB4EBF" w:rsidRPr="001C431F" w:rsidRDefault="00CB4EBF" w:rsidP="0054762C">
            <w:pPr>
              <w:jc w:val="both"/>
              <w:rPr>
                <w:rFonts w:cs="Times New Roman"/>
                <w:noProof/>
                <w:sz w:val="20"/>
                <w:szCs w:val="20"/>
              </w:rPr>
            </w:pPr>
          </w:p>
        </w:tc>
        <w:tc>
          <w:tcPr>
            <w:tcW w:w="2460" w:type="dxa"/>
          </w:tcPr>
          <w:p w14:paraId="3E313592" w14:textId="77777777" w:rsidR="00CB4EBF" w:rsidRPr="001C431F" w:rsidRDefault="00CB4EBF" w:rsidP="0054762C">
            <w:pPr>
              <w:jc w:val="both"/>
              <w:rPr>
                <w:rFonts w:cs="Times New Roman"/>
                <w:noProof/>
                <w:sz w:val="20"/>
                <w:szCs w:val="20"/>
              </w:rPr>
            </w:pPr>
          </w:p>
        </w:tc>
        <w:tc>
          <w:tcPr>
            <w:tcW w:w="2266" w:type="dxa"/>
          </w:tcPr>
          <w:p w14:paraId="00E0FA29" w14:textId="77777777" w:rsidR="00CB4EBF" w:rsidRPr="001C431F" w:rsidRDefault="00CB4EBF" w:rsidP="0054762C">
            <w:pPr>
              <w:jc w:val="both"/>
              <w:rPr>
                <w:rFonts w:cs="Times New Roman"/>
                <w:noProof/>
                <w:sz w:val="20"/>
                <w:szCs w:val="20"/>
              </w:rPr>
            </w:pPr>
          </w:p>
        </w:tc>
      </w:tr>
    </w:tbl>
    <w:p w14:paraId="09FAEA0E" w14:textId="77777777" w:rsidR="00CB4EBF" w:rsidRPr="001C431F" w:rsidRDefault="00CB4EBF" w:rsidP="00CB4EBF">
      <w:pPr>
        <w:spacing w:after="0" w:line="240" w:lineRule="auto"/>
        <w:jc w:val="both"/>
        <w:rPr>
          <w:rFonts w:eastAsia="Times New Roman" w:cs="Times New Roman"/>
          <w:b/>
          <w:iCs/>
          <w:noProof/>
          <w:sz w:val="20"/>
          <w:szCs w:val="20"/>
        </w:rPr>
      </w:pPr>
    </w:p>
    <w:p w14:paraId="79F1C5CB"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r>
        <w:rPr>
          <w:rFonts w:eastAsia="Times New Roman" w:cs="Times New Roman"/>
          <w:b/>
          <w:bCs/>
          <w:noProof/>
          <w:sz w:val="20"/>
          <w:szCs w:val="20"/>
          <w:lang w:val="hr"/>
        </w:rPr>
        <w:t>7.2.</w:t>
      </w:r>
      <w:r>
        <w:rPr>
          <w:rFonts w:eastAsia="Times New Roman" w:cs="Times New Roman"/>
          <w:b/>
          <w:bCs/>
          <w:noProof/>
          <w:sz w:val="20"/>
          <w:szCs w:val="20"/>
          <w:lang w:val="hr"/>
        </w:rPr>
        <w:tab/>
        <w:t xml:space="preserve">Postupak za osnivanje zajedničkog tajništva </w:t>
      </w:r>
    </w:p>
    <w:p w14:paraId="4B3DEB1D" w14:textId="77777777" w:rsidR="00CB4EBF" w:rsidRPr="001C431F" w:rsidRDefault="00CB4EBF" w:rsidP="00CB4EBF">
      <w:pPr>
        <w:spacing w:after="0" w:line="240" w:lineRule="auto"/>
        <w:jc w:val="both"/>
        <w:rPr>
          <w:rFonts w:eastAsia="Times New Roman" w:cs="Times New Roman"/>
          <w:b/>
          <w:i/>
          <w:iCs/>
          <w:noProof/>
          <w:sz w:val="20"/>
          <w:szCs w:val="20"/>
        </w:rPr>
      </w:pPr>
      <w:r>
        <w:rPr>
          <w:rFonts w:eastAsia="Times New Roman" w:cs="Times New Roman"/>
          <w:i/>
          <w:iCs/>
          <w:noProof/>
          <w:color w:val="000000"/>
          <w:sz w:val="20"/>
          <w:szCs w:val="20"/>
          <w:lang w:val="hr"/>
        </w:rPr>
        <w:t>Upućivanje: članak 17. stavak 6. točka (b)</w:t>
      </w:r>
    </w:p>
    <w:p w14:paraId="2171A6CE" w14:textId="77777777" w:rsidR="00CB4EBF" w:rsidRPr="001C431F" w:rsidRDefault="00CB4EBF" w:rsidP="00CB4EBF">
      <w:pPr>
        <w:spacing w:after="0" w:line="240" w:lineRule="auto"/>
        <w:jc w:val="both"/>
        <w:rPr>
          <w:rFonts w:eastAsia="Times New Roman" w:cs="Times New Roman"/>
          <w:noProof/>
          <w:color w:val="000000"/>
          <w:sz w:val="20"/>
          <w:szCs w:val="20"/>
        </w:rPr>
      </w:pPr>
    </w:p>
    <w:p w14:paraId="2018FC90" w14:textId="77777777" w:rsidR="00CB4EBF" w:rsidRPr="001C431F" w:rsidRDefault="00CB4EBF" w:rsidP="00CB4EBF">
      <w:p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Partnerske zemlje pristale su uspostaviti Zajedničko tajništvo (ZT) xxxx</w:t>
      </w:r>
    </w:p>
    <w:p w14:paraId="799DDDFA" w14:textId="77777777" w:rsidR="00CB4EBF" w:rsidRPr="001C431F" w:rsidRDefault="00CB4EBF" w:rsidP="00CB4EBF">
      <w:pPr>
        <w:spacing w:after="0" w:line="240" w:lineRule="auto"/>
        <w:jc w:val="both"/>
        <w:rPr>
          <w:rFonts w:eastAsia="Times New Roman" w:cs="Times New Roman"/>
          <w:noProof/>
          <w:color w:val="000000"/>
          <w:sz w:val="20"/>
          <w:szCs w:val="20"/>
        </w:rPr>
      </w:pPr>
    </w:p>
    <w:p w14:paraId="3859AC78" w14:textId="77777777" w:rsidR="00CB4EBF" w:rsidRPr="001C431F" w:rsidRDefault="00CB4EBF" w:rsidP="00CB4EBF">
      <w:p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ZT će biti funkcionalno neovisan unutar organizacijskih struktura xxx-a; međutim, institucija domaćin će unatoč tome osigurati potrebnu podršku pozadinskog ureda za nesmetani rad, kao i horizontalne usluge za uspješnu provedbu Programa.</w:t>
      </w:r>
    </w:p>
    <w:p w14:paraId="633A39C1" w14:textId="77777777" w:rsidR="00CB4EBF" w:rsidRPr="001C431F" w:rsidRDefault="00CB4EBF" w:rsidP="00CB4EBF">
      <w:pPr>
        <w:spacing w:after="0" w:line="240" w:lineRule="auto"/>
        <w:jc w:val="both"/>
        <w:rPr>
          <w:rFonts w:eastAsia="Times New Roman" w:cs="Times New Roman"/>
          <w:noProof/>
          <w:color w:val="000000"/>
          <w:sz w:val="20"/>
          <w:szCs w:val="20"/>
        </w:rPr>
      </w:pPr>
    </w:p>
    <w:p w14:paraId="4BC689DD" w14:textId="77777777" w:rsidR="00CB4EBF" w:rsidRPr="001C431F" w:rsidRDefault="00CB4EBF" w:rsidP="00CB4EBF">
      <w:p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 xml:space="preserve">ZT će blisko surađivati s upravljačkim tijelom na koordinaciji i provedbi programa te pružati podršku nacionalnim tijelima (NT). Upravljačko tijelo i ZT radit će u sklopu sustava kojim se osigurava s jedne strane njihova suradnja, a s druge strane njihova neovisnost od nacionalnih struktura. ZT će također pomagati OP-u obavljati njihove pripadajuće funkcije i zadaće (među ostalim i organiziranje sastanaka OP-a, uključujući pripremu i dostavu dokumenata, pomoć kod donošenja odluka, osiguravanje daljnjih djelovanja). Nadalje, ZT će podnositeljima zahtjeva pružiti informacije o mogućnostima financiranja, pomoći u procesu traženja partnera i razvoja projekata, upravljati postupkom prijave, podržati postupak procjene i odabira operacija te će pomoći korisnicima u provedbi operacija. ZT će osim toga pripremiti dokumente na razini programa (npr. smjernice za podnositelje zahtjeva i korisnike, izvješća koja će upravljačko tijelo dostaviti Europskoj komisiji nakon odobrenja OP-a), koordinirati evaluacije provedene tijekom provedbe programa i obavljat će aktivnosti informiranja i promicanja. </w:t>
      </w:r>
    </w:p>
    <w:p w14:paraId="1AA3BA94" w14:textId="77777777" w:rsidR="00CB4EBF" w:rsidRPr="001C431F" w:rsidRDefault="00CB4EBF" w:rsidP="00CB4EBF">
      <w:pPr>
        <w:spacing w:after="0" w:line="240" w:lineRule="auto"/>
        <w:jc w:val="both"/>
        <w:rPr>
          <w:rFonts w:eastAsia="Times New Roman" w:cs="Times New Roman"/>
          <w:noProof/>
          <w:color w:val="000000"/>
          <w:sz w:val="20"/>
          <w:szCs w:val="20"/>
        </w:rPr>
      </w:pPr>
    </w:p>
    <w:p w14:paraId="16398AB2" w14:textId="77777777" w:rsidR="00CB4EBF" w:rsidRPr="001C431F" w:rsidRDefault="00CB4EBF" w:rsidP="00CB4EBF">
      <w:p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Broj i kvalifikacija osoblja moraju odgovarati gore utvrđenim zadaćama. ZT će imati odgovarajuće osoblje uzimajući u obzir programsko partnerstvo. Članovi osoblja biraju se dogovorom dviju država članica. Odbor za odabir sastavljen od po jednog predstavnika svake države članice i predstavnika institucije domaćina odlučuje o osobi koja će biti na čelu ZT-a. Članove ZT-a bira odbor koji se sastoji od po jednog predstavnika svake države članice, čelnika ZT-a i predstavnika institucije domaćina. Osoblje ZT-a bit će zaposlenici xxx-a.</w:t>
      </w:r>
    </w:p>
    <w:p w14:paraId="388A9AB8" w14:textId="77777777" w:rsidR="00CB4EBF" w:rsidRPr="001C431F" w:rsidRDefault="00CB4EBF" w:rsidP="00CB4EBF">
      <w:p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 xml:space="preserve"> </w:t>
      </w:r>
    </w:p>
    <w:p w14:paraId="385E4655" w14:textId="77777777" w:rsidR="00CB4EBF" w:rsidRPr="001C431F" w:rsidRDefault="00CB4EBF" w:rsidP="00CB4EBF">
      <w:p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 xml:space="preserve">ZT će biti smješten u xxx, a osoblje ZT-a u xxx, kontaktna točka / antena za ZT bit će uspostavljena u xxx. </w:t>
      </w:r>
    </w:p>
    <w:p w14:paraId="13BCFB48" w14:textId="77777777" w:rsidR="00CB4EBF" w:rsidRDefault="00CB4EBF" w:rsidP="00CB4EBF">
      <w:p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Cjelokupnom strukturom i radom ZT-a koordinirat će čelnik ZT-a, uz izravnu podršku sljedećih članova osoblja:</w:t>
      </w:r>
    </w:p>
    <w:p w14:paraId="5400A8CF" w14:textId="77777777" w:rsidR="00CB4EBF" w:rsidRPr="001C431F" w:rsidRDefault="00CB4EBF" w:rsidP="00CB4EBF">
      <w:pPr>
        <w:spacing w:after="0" w:line="240" w:lineRule="auto"/>
        <w:jc w:val="both"/>
        <w:rPr>
          <w:rFonts w:eastAsia="Times New Roman" w:cs="Times New Roman"/>
          <w:noProof/>
          <w:color w:val="000000"/>
          <w:sz w:val="20"/>
          <w:szCs w:val="20"/>
        </w:rPr>
      </w:pPr>
    </w:p>
    <w:p w14:paraId="3858FB1F" w14:textId="77777777" w:rsidR="00CB4EBF" w:rsidRPr="001C431F" w:rsidRDefault="00CB4EBF" w:rsidP="00CB4EBF">
      <w:p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 Zamjenik čelnika ZT-a</w:t>
      </w:r>
    </w:p>
    <w:p w14:paraId="48A699A5" w14:textId="77777777" w:rsidR="00CB4EBF" w:rsidRPr="001C431F" w:rsidRDefault="00CB4EBF" w:rsidP="00CB4EBF">
      <w:p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 Programski upravitelji</w:t>
      </w:r>
    </w:p>
    <w:p w14:paraId="3A61306C" w14:textId="77777777" w:rsidR="00CB4EBF" w:rsidRPr="001C431F" w:rsidRDefault="00CB4EBF" w:rsidP="00CB4EBF">
      <w:p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 xml:space="preserve">– Voditelj komunikacija – uloga koju obavljaju drugi članovi osoblja ili osoba zaposlena na puno radno vrijeme </w:t>
      </w:r>
    </w:p>
    <w:p w14:paraId="3D8B8523" w14:textId="77777777" w:rsidR="00CB4EBF" w:rsidRPr="001C431F" w:rsidRDefault="00CB4EBF" w:rsidP="00CB4EBF">
      <w:p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 Financijski upravitelji – uloga koju obavljaju drugi članovi osoblja ili osoba zaposlena na puno radno vrijeme</w:t>
      </w:r>
    </w:p>
    <w:p w14:paraId="2C7F6AC1" w14:textId="77777777" w:rsidR="00CB4EBF" w:rsidRPr="001C431F" w:rsidRDefault="00CB4EBF" w:rsidP="00CB4EBF">
      <w:pPr>
        <w:spacing w:after="0" w:line="240" w:lineRule="auto"/>
        <w:jc w:val="both"/>
        <w:rPr>
          <w:rFonts w:eastAsia="Times New Roman" w:cs="Times New Roman"/>
          <w:noProof/>
          <w:color w:val="000000"/>
          <w:sz w:val="20"/>
          <w:szCs w:val="20"/>
        </w:rPr>
      </w:pPr>
    </w:p>
    <w:p w14:paraId="2F2F3C31" w14:textId="77777777" w:rsidR="00CB4EBF" w:rsidRPr="001C431F" w:rsidRDefault="00CB4EBF" w:rsidP="00CB4EBF">
      <w:p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lastRenderedPageBreak/>
        <w:t>ZT će se financirati iz tehničke pomoći programa. Detaljna pravila financijskog upravljanja programskih tijela koje će provoditi partnerske zemlje bit će navedena u memorandumu o razumijevanju.</w:t>
      </w:r>
    </w:p>
    <w:p w14:paraId="4224E19E"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p>
    <w:p w14:paraId="1BF03E9F" w14:textId="77777777" w:rsidR="00CB4EBF" w:rsidRPr="001C431F" w:rsidRDefault="00CB4EBF" w:rsidP="00CB4EBF">
      <w:pPr>
        <w:spacing w:after="0" w:line="240" w:lineRule="auto"/>
        <w:ind w:left="709" w:hanging="709"/>
        <w:jc w:val="both"/>
        <w:rPr>
          <w:rFonts w:eastAsia="Times New Roman" w:cs="Times New Roman"/>
          <w:b/>
          <w:iCs/>
          <w:noProof/>
          <w:sz w:val="20"/>
          <w:szCs w:val="20"/>
        </w:rPr>
      </w:pPr>
      <w:r>
        <w:rPr>
          <w:rFonts w:eastAsia="Times New Roman" w:cs="Times New Roman"/>
          <w:b/>
          <w:bCs/>
          <w:noProof/>
          <w:sz w:val="20"/>
          <w:szCs w:val="20"/>
          <w:lang w:val="hr"/>
        </w:rPr>
        <w:t>7.3.</w:t>
      </w:r>
      <w:r>
        <w:rPr>
          <w:rFonts w:eastAsia="Times New Roman" w:cs="Times New Roman"/>
          <w:b/>
          <w:bCs/>
          <w:noProof/>
          <w:sz w:val="20"/>
          <w:szCs w:val="20"/>
          <w:lang w:val="hr"/>
        </w:rPr>
        <w:tab/>
        <w:t>Raspodjela obveza među državama članicama sudionicama i, ako je to primjenjivo, trećim zemljama sudionicama i PZP-ovima koji sudjeluju, u slučaju financijskih ispravaka koje izriče upravljačko tijelo ili Komisija</w:t>
      </w:r>
    </w:p>
    <w:p w14:paraId="6A9F1387" w14:textId="77777777" w:rsidR="00CB4EBF" w:rsidRPr="001C431F" w:rsidRDefault="00CB4EBF" w:rsidP="00CB4EBF">
      <w:pPr>
        <w:spacing w:after="0" w:line="240" w:lineRule="auto"/>
        <w:jc w:val="both"/>
        <w:rPr>
          <w:rFonts w:eastAsia="Times New Roman" w:cs="Times New Roman"/>
          <w:b/>
          <w:i/>
          <w:iCs/>
          <w:noProof/>
          <w:sz w:val="20"/>
          <w:szCs w:val="20"/>
        </w:rPr>
      </w:pPr>
      <w:r>
        <w:rPr>
          <w:rFonts w:eastAsia="Times New Roman" w:cs="Times New Roman"/>
          <w:i/>
          <w:iCs/>
          <w:noProof/>
          <w:color w:val="000000"/>
          <w:sz w:val="20"/>
          <w:szCs w:val="20"/>
          <w:lang w:val="hr"/>
        </w:rPr>
        <w:t>Upućivanje: članak 17. stavak 6. točka (c)</w:t>
      </w:r>
    </w:p>
    <w:p w14:paraId="73BD23F7" w14:textId="77777777" w:rsidR="00CB4EBF" w:rsidRPr="001C431F" w:rsidRDefault="00CB4EBF" w:rsidP="00CB4EBF">
      <w:pPr>
        <w:spacing w:after="0" w:line="240" w:lineRule="auto"/>
        <w:jc w:val="both"/>
        <w:rPr>
          <w:rFonts w:eastAsia="Times New Roman" w:cs="Times New Roman"/>
          <w:b/>
          <w:noProof/>
          <w:color w:val="000000"/>
          <w:sz w:val="20"/>
          <w:szCs w:val="20"/>
        </w:rPr>
      </w:pPr>
    </w:p>
    <w:p w14:paraId="3A19B996" w14:textId="77777777" w:rsidR="00CB4EBF" w:rsidRPr="001C431F" w:rsidRDefault="00CB4EBF" w:rsidP="00CB4EBF">
      <w:pPr>
        <w:spacing w:after="0" w:line="240" w:lineRule="auto"/>
        <w:jc w:val="both"/>
        <w:rPr>
          <w:rFonts w:eastAsia="Times New Roman" w:cs="Times New Roman"/>
          <w:b/>
          <w:noProof/>
          <w:color w:val="000000"/>
          <w:sz w:val="20"/>
          <w:szCs w:val="20"/>
        </w:rPr>
      </w:pPr>
      <w:r>
        <w:rPr>
          <w:rFonts w:eastAsia="Times New Roman" w:cs="Times New Roman"/>
          <w:b/>
          <w:bCs/>
          <w:noProof/>
          <w:color w:val="000000"/>
          <w:sz w:val="20"/>
          <w:szCs w:val="20"/>
          <w:lang w:val="hr"/>
        </w:rPr>
        <w:t>7.3.1. Opća pravila o obvezama između država članica</w:t>
      </w:r>
    </w:p>
    <w:p w14:paraId="07F176E7" w14:textId="77777777" w:rsidR="00CB4EBF" w:rsidRPr="001C431F" w:rsidRDefault="00CB4EBF" w:rsidP="00CB4EBF">
      <w:pPr>
        <w:spacing w:after="0" w:line="240" w:lineRule="auto"/>
        <w:jc w:val="both"/>
        <w:rPr>
          <w:rFonts w:eastAsia="Times New Roman" w:cs="Times New Roman"/>
          <w:noProof/>
          <w:color w:val="000000"/>
          <w:sz w:val="20"/>
          <w:szCs w:val="20"/>
        </w:rPr>
      </w:pPr>
    </w:p>
    <w:p w14:paraId="556B335D" w14:textId="77777777" w:rsidR="00CB4EBF" w:rsidRPr="001C431F" w:rsidRDefault="00CB4EBF" w:rsidP="00CB4EBF">
      <w:p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 xml:space="preserve">Svaka je država članica odgovorna za sprječavanje, otkrivanje i ispravljanje nepravilnosti. </w:t>
      </w:r>
    </w:p>
    <w:p w14:paraId="0C9E6083" w14:textId="77777777" w:rsidR="00CB4EBF" w:rsidRPr="001C431F" w:rsidRDefault="00CB4EBF" w:rsidP="00CB4EBF">
      <w:pPr>
        <w:spacing w:after="0" w:line="240" w:lineRule="auto"/>
        <w:jc w:val="both"/>
        <w:rPr>
          <w:rFonts w:eastAsia="Times New Roman" w:cs="Times New Roman"/>
          <w:noProof/>
          <w:color w:val="000000"/>
          <w:sz w:val="20"/>
          <w:szCs w:val="20"/>
        </w:rPr>
      </w:pPr>
    </w:p>
    <w:p w14:paraId="32E94062" w14:textId="77777777" w:rsidR="00CB4EBF" w:rsidRPr="001C431F" w:rsidRDefault="00CB4EBF" w:rsidP="00CB4EBF">
      <w:pPr>
        <w:tabs>
          <w:tab w:val="left" w:pos="6521"/>
        </w:tabs>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Upravljačko tijelo, ne dovodeći u pitanje odgovornost države članice prema članku 52. Uredbe o Interregu, osigurava da se za svaki iznos isplaćen kao rezultat nepravilnosti (ili kada upravljačko tijelo ima pravo povući se iz Ugovora o subvencijama i zahtijevati povrat doprinosa EU-a u cijelosti ili djelomično) osigura povrat od glavnog partnera. Partneri glavnom partneru vraćaju sve nepropisno isplaćene iznose.</w:t>
      </w:r>
    </w:p>
    <w:p w14:paraId="3957AB52" w14:textId="77777777" w:rsidR="00CB4EBF" w:rsidRPr="001C431F" w:rsidRDefault="00CB4EBF" w:rsidP="00CB4EBF">
      <w:pPr>
        <w:spacing w:after="0" w:line="240" w:lineRule="auto"/>
        <w:jc w:val="both"/>
        <w:rPr>
          <w:rFonts w:eastAsia="Times New Roman" w:cs="Times New Roman"/>
          <w:noProof/>
          <w:color w:val="000000"/>
          <w:sz w:val="20"/>
          <w:szCs w:val="20"/>
        </w:rPr>
      </w:pPr>
    </w:p>
    <w:p w14:paraId="735439B5" w14:textId="77777777" w:rsidR="00CB4EBF" w:rsidRPr="001C431F" w:rsidRDefault="00CB4EBF" w:rsidP="00CB4EBF">
      <w:p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 xml:space="preserve">Ako glavni partner ne uspije osigurati povrat od ostalih partnera ili ako upravljačko tijelo ne uspije osigurati povrat od glavnog partnera, država članica na čijem se području nalazi dotični partner ili je, u slučaju EGTS-a, ondje registriran, nadoknađuje upravljačkom tijelu sve iznose koji su nepropisno isplaćeni tom partneru. </w:t>
      </w:r>
    </w:p>
    <w:p w14:paraId="0136DB8E" w14:textId="77777777" w:rsidR="00CB4EBF" w:rsidRPr="001C431F" w:rsidRDefault="00CB4EBF" w:rsidP="00CB4EBF">
      <w:pPr>
        <w:spacing w:after="0" w:line="240" w:lineRule="auto"/>
        <w:jc w:val="both"/>
        <w:rPr>
          <w:rFonts w:eastAsia="Times New Roman" w:cs="Times New Roman"/>
          <w:noProof/>
          <w:color w:val="000000"/>
          <w:sz w:val="20"/>
          <w:szCs w:val="20"/>
        </w:rPr>
      </w:pPr>
    </w:p>
    <w:p w14:paraId="3091815F" w14:textId="77777777" w:rsidR="00CB4EBF" w:rsidRPr="001C431F" w:rsidRDefault="00CB4EBF" w:rsidP="00CB4EBF">
      <w:p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 xml:space="preserve">Ako je upravljačko tijelo odgovorno za bilo kakve pravne troškove regresnog postupka, čak i ako je postupak neuspješan, troškove će nadoknaditi država članica u kojoj se nalazi glavni partner odgovoran za navedeni postupak. </w:t>
      </w:r>
    </w:p>
    <w:p w14:paraId="591CE87C" w14:textId="77777777" w:rsidR="00CB4EBF" w:rsidRPr="001C431F" w:rsidRDefault="00CB4EBF" w:rsidP="00CB4EBF">
      <w:pPr>
        <w:spacing w:after="0" w:line="240" w:lineRule="auto"/>
        <w:jc w:val="both"/>
        <w:rPr>
          <w:rFonts w:eastAsia="Times New Roman" w:cs="Times New Roman"/>
          <w:noProof/>
          <w:color w:val="000000"/>
          <w:sz w:val="20"/>
          <w:szCs w:val="20"/>
        </w:rPr>
      </w:pPr>
    </w:p>
    <w:p w14:paraId="450FD39F" w14:textId="77777777" w:rsidR="00CB4EBF" w:rsidRPr="001C431F" w:rsidRDefault="00CB4EBF" w:rsidP="00CB4EBF">
      <w:p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Upravljačko tijelo odgovorno je za nadoknadu vraćenih iznosa u opći proračun Unije u skladu s raspodjelom obveza među državama članicama sudionicama.</w:t>
      </w:r>
    </w:p>
    <w:p w14:paraId="0B365295" w14:textId="77777777" w:rsidR="00CB4EBF" w:rsidRPr="001C431F" w:rsidRDefault="00CB4EBF" w:rsidP="00CB4EBF">
      <w:pPr>
        <w:spacing w:after="0" w:line="240" w:lineRule="auto"/>
        <w:jc w:val="both"/>
        <w:rPr>
          <w:rFonts w:eastAsia="Times New Roman" w:cs="Times New Roman"/>
          <w:noProof/>
          <w:color w:val="000000"/>
          <w:sz w:val="20"/>
          <w:szCs w:val="20"/>
        </w:rPr>
      </w:pPr>
    </w:p>
    <w:p w14:paraId="3E0ACD1C" w14:textId="77777777" w:rsidR="00CB4EBF" w:rsidRPr="001C431F" w:rsidRDefault="00CB4EBF" w:rsidP="00CB4EBF">
      <w:p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Upravljačko će tijelo nadoknaditi sredstva Uniji nakon povrata iznosa od glavnog partnera / partnera / države članice.</w:t>
      </w:r>
    </w:p>
    <w:p w14:paraId="3F6B80BE" w14:textId="77777777" w:rsidR="00CB4EBF" w:rsidRPr="001C431F" w:rsidRDefault="00CB4EBF" w:rsidP="00CB4EBF">
      <w:pPr>
        <w:spacing w:after="0" w:line="240" w:lineRule="auto"/>
        <w:jc w:val="both"/>
        <w:rPr>
          <w:rFonts w:eastAsia="Times New Roman" w:cs="Times New Roman"/>
          <w:noProof/>
          <w:color w:val="000000"/>
          <w:sz w:val="20"/>
          <w:szCs w:val="20"/>
        </w:rPr>
      </w:pPr>
    </w:p>
    <w:p w14:paraId="1A36BD23" w14:textId="77777777" w:rsidR="00CB4EBF" w:rsidRPr="001C431F" w:rsidRDefault="00CB4EBF" w:rsidP="00CB4EBF">
      <w:p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U skladu s člankom 52. stavkom 4. Uredbe o Interregu, nakon što država članica upravljačkom tijelu nadoknadi sve iznose koji su nepropisno isplaćeni partneru, može nastaviti ili pokrenuti postupak povrata protiv tog partnera u skladu sa svojim nacionalnim pravom. Država članica nema nikakvu obvezu izvješćivanja prema tijelima programa, odboru za praćenje ili Europskoj komisiji u pogledu takvih nacionalnih povrata.</w:t>
      </w:r>
    </w:p>
    <w:p w14:paraId="41029F76" w14:textId="77777777" w:rsidR="00CB4EBF" w:rsidRPr="001C431F" w:rsidRDefault="00CB4EBF" w:rsidP="00CB4EBF">
      <w:pPr>
        <w:spacing w:after="0" w:line="240" w:lineRule="auto"/>
        <w:jc w:val="both"/>
        <w:rPr>
          <w:rFonts w:eastAsia="Times New Roman" w:cs="Times New Roman"/>
          <w:noProof/>
          <w:color w:val="000000"/>
          <w:sz w:val="20"/>
          <w:szCs w:val="20"/>
        </w:rPr>
      </w:pPr>
    </w:p>
    <w:p w14:paraId="1CAC511B" w14:textId="77777777" w:rsidR="00CB4EBF" w:rsidRPr="001C431F" w:rsidRDefault="00CB4EBF" w:rsidP="00CB4EBF">
      <w:p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Ako država članica nije upravljačkom tijelu nadoknadila iznose koji su nepropisno isplaćeni partneru, ti iznosi podliježu nalogu za povrat koji izdaje Komisija i koji se izvršava, kad je to moguće, prijebojem u odnosu na odgovarajuću državu članicu u programu. Takav povrat nije financijski ispravak i njime se ne umanjuje iznos potpore iz EFRR-a ili iz bilo kojeg instrumenta Unije za financiranje vanjskog djelovanja za program. Iznos ostvaren povratom predstavlja namjenski prihod u skladu s člankom 21. Uredbe (EU, Euratom).</w:t>
      </w:r>
    </w:p>
    <w:p w14:paraId="19B0271E" w14:textId="77777777" w:rsidR="00CB4EBF" w:rsidRPr="001C431F" w:rsidRDefault="00CB4EBF" w:rsidP="00CB4EBF">
      <w:pPr>
        <w:spacing w:after="0" w:line="240" w:lineRule="auto"/>
        <w:jc w:val="both"/>
        <w:rPr>
          <w:rFonts w:eastAsia="Times New Roman" w:cs="Times New Roman"/>
          <w:noProof/>
          <w:color w:val="000000"/>
          <w:sz w:val="20"/>
          <w:szCs w:val="20"/>
        </w:rPr>
      </w:pPr>
    </w:p>
    <w:p w14:paraId="15D9671E" w14:textId="77777777" w:rsidR="00CB4EBF" w:rsidRPr="001C431F" w:rsidRDefault="00CB4EBF" w:rsidP="00CB4EBF">
      <w:pPr>
        <w:spacing w:after="0" w:line="240" w:lineRule="auto"/>
        <w:jc w:val="both"/>
        <w:rPr>
          <w:rFonts w:cs="Times New Roman"/>
          <w:color w:val="000000"/>
          <w:sz w:val="20"/>
          <w:szCs w:val="20"/>
          <w:shd w:val="clear" w:color="auto" w:fill="FFFFFF"/>
        </w:rPr>
      </w:pPr>
      <w:r>
        <w:rPr>
          <w:rFonts w:cs="Times New Roman"/>
          <w:color w:val="000000"/>
          <w:sz w:val="20"/>
          <w:szCs w:val="20"/>
          <w:shd w:val="clear" w:color="auto" w:fill="FFFFFF"/>
          <w:lang w:val="hr"/>
        </w:rPr>
        <w:t xml:space="preserve">Kad je riječ o iznosima koje država članica nije nadoknadila upravljačkom tijelu, prijeboj se odnosi na naknadna plaćanja za isti program </w:t>
      </w:r>
      <w:proofErr w:type="spellStart"/>
      <w:r>
        <w:rPr>
          <w:rFonts w:cs="Times New Roman"/>
          <w:color w:val="000000"/>
          <w:sz w:val="20"/>
          <w:szCs w:val="20"/>
          <w:shd w:val="clear" w:color="auto" w:fill="FFFFFF"/>
          <w:lang w:val="hr"/>
        </w:rPr>
        <w:t>Interrega</w:t>
      </w:r>
      <w:proofErr w:type="spellEnd"/>
      <w:r>
        <w:rPr>
          <w:rFonts w:cs="Times New Roman"/>
          <w:color w:val="000000"/>
          <w:sz w:val="20"/>
          <w:szCs w:val="20"/>
          <w:shd w:val="clear" w:color="auto" w:fill="FFFFFF"/>
          <w:lang w:val="hr"/>
        </w:rPr>
        <w:t xml:space="preserve">. Upravljačko tijelo potom vrši prijeboj u odnosu na tu državu članicu u skladu s raspodjelom obveza među državama članicama sudionicama kako je utvrđena u programu </w:t>
      </w:r>
      <w:proofErr w:type="spellStart"/>
      <w:r>
        <w:rPr>
          <w:rFonts w:cs="Times New Roman"/>
          <w:color w:val="000000"/>
          <w:sz w:val="20"/>
          <w:szCs w:val="20"/>
          <w:shd w:val="clear" w:color="auto" w:fill="FFFFFF"/>
          <w:lang w:val="hr"/>
        </w:rPr>
        <w:t>Interrega</w:t>
      </w:r>
      <w:proofErr w:type="spellEnd"/>
      <w:r>
        <w:rPr>
          <w:rFonts w:cs="Times New Roman"/>
          <w:color w:val="000000"/>
          <w:sz w:val="20"/>
          <w:szCs w:val="20"/>
          <w:shd w:val="clear" w:color="auto" w:fill="FFFFFF"/>
          <w:lang w:val="hr"/>
        </w:rPr>
        <w:t xml:space="preserve"> u slučaju financijskih ispravaka koje izriču upravljačko tijelo ili Komisija.</w:t>
      </w:r>
    </w:p>
    <w:p w14:paraId="5055ACBC" w14:textId="77777777" w:rsidR="00CB4EBF" w:rsidRPr="001C431F" w:rsidRDefault="00CB4EBF" w:rsidP="00CB4EBF">
      <w:pPr>
        <w:spacing w:after="0" w:line="240" w:lineRule="auto"/>
        <w:jc w:val="both"/>
        <w:rPr>
          <w:rFonts w:eastAsia="Times New Roman" w:cs="Times New Roman"/>
          <w:noProof/>
          <w:color w:val="000000"/>
          <w:sz w:val="20"/>
          <w:szCs w:val="20"/>
        </w:rPr>
      </w:pPr>
    </w:p>
    <w:p w14:paraId="01D0830A" w14:textId="77777777" w:rsidR="00CB4EBF" w:rsidRPr="001C431F" w:rsidRDefault="00CB4EBF" w:rsidP="00CB4EBF">
      <w:p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Države se članice slažu da niti glavni niti upravljačko tijelo programa nisu dužni vratiti nepropisno isplaćen iznos ako je riječ o kumulativnom iznosu doprinosa iz fonda Unije operaciji u obračunskoj godini koji ne premašuje 250 EUR, bez kamata.</w:t>
      </w:r>
    </w:p>
    <w:p w14:paraId="373FC8D6" w14:textId="77777777" w:rsidR="00CB4EBF" w:rsidRPr="001C431F" w:rsidRDefault="00CB4EBF" w:rsidP="00CB4EBF">
      <w:pPr>
        <w:spacing w:after="0" w:line="240" w:lineRule="auto"/>
        <w:jc w:val="both"/>
        <w:rPr>
          <w:rFonts w:eastAsia="Times New Roman" w:cs="Times New Roman"/>
          <w:noProof/>
          <w:color w:val="000000"/>
          <w:sz w:val="20"/>
          <w:szCs w:val="20"/>
        </w:rPr>
      </w:pPr>
    </w:p>
    <w:p w14:paraId="2508880C" w14:textId="77777777" w:rsidR="00CB4EBF" w:rsidRPr="001C431F" w:rsidRDefault="00CB4EBF" w:rsidP="00CB4EBF">
      <w:pPr>
        <w:spacing w:after="0" w:line="240" w:lineRule="auto"/>
        <w:jc w:val="both"/>
        <w:rPr>
          <w:rFonts w:eastAsia="Times New Roman" w:cs="Times New Roman"/>
          <w:b/>
          <w:noProof/>
          <w:color w:val="000000"/>
          <w:sz w:val="20"/>
          <w:szCs w:val="20"/>
        </w:rPr>
      </w:pPr>
      <w:r>
        <w:rPr>
          <w:rFonts w:eastAsia="Times New Roman" w:cs="Times New Roman"/>
          <w:b/>
          <w:bCs/>
          <w:noProof/>
          <w:color w:val="000000"/>
          <w:sz w:val="20"/>
          <w:szCs w:val="20"/>
          <w:lang w:val="hr"/>
        </w:rPr>
        <w:t>7.3.2. Pravila o raspodjeli obveza</w:t>
      </w:r>
    </w:p>
    <w:p w14:paraId="5357F7B8" w14:textId="77777777" w:rsidR="00CB4EBF" w:rsidRPr="001C431F" w:rsidRDefault="00CB4EBF" w:rsidP="00CB4EBF">
      <w:pPr>
        <w:spacing w:after="0" w:line="240" w:lineRule="auto"/>
        <w:jc w:val="both"/>
        <w:rPr>
          <w:rFonts w:eastAsia="Times New Roman" w:cs="Times New Roman"/>
          <w:noProof/>
          <w:color w:val="000000"/>
          <w:sz w:val="20"/>
          <w:szCs w:val="20"/>
        </w:rPr>
      </w:pPr>
    </w:p>
    <w:p w14:paraId="70C732FF" w14:textId="77777777" w:rsidR="00CB4EBF" w:rsidRPr="001C431F" w:rsidRDefault="00CB4EBF" w:rsidP="00CB4EBF">
      <w:p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Države su članice suglasne da će biti obvezne kako slijedi:</w:t>
      </w:r>
    </w:p>
    <w:p w14:paraId="24FC42B8" w14:textId="77777777" w:rsidR="00CB4EBF" w:rsidRPr="001C431F" w:rsidRDefault="00CB4EBF" w:rsidP="00CB4EBF">
      <w:pPr>
        <w:spacing w:after="0" w:line="240" w:lineRule="auto"/>
        <w:jc w:val="both"/>
        <w:rPr>
          <w:rFonts w:eastAsia="Times New Roman" w:cs="Times New Roman"/>
          <w:noProof/>
          <w:color w:val="000000"/>
          <w:sz w:val="20"/>
          <w:szCs w:val="20"/>
        </w:rPr>
      </w:pPr>
    </w:p>
    <w:p w14:paraId="7C985DD6"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i/>
          <w:iCs/>
          <w:noProof/>
          <w:color w:val="000000"/>
          <w:sz w:val="20"/>
          <w:szCs w:val="20"/>
          <w:lang w:val="hr"/>
        </w:rPr>
        <w:t>• Nepravilnosti u vezi s glavnim ili jedinim partnerom ili partnerima:</w:t>
      </w:r>
    </w:p>
    <w:p w14:paraId="7C54E881" w14:textId="77777777" w:rsidR="00CB4EBF" w:rsidRDefault="00CB4EBF" w:rsidP="00CB4EBF">
      <w:pPr>
        <w:spacing w:after="0" w:line="240" w:lineRule="auto"/>
        <w:jc w:val="both"/>
        <w:rPr>
          <w:rFonts w:eastAsia="Times New Roman" w:cs="Times New Roman"/>
          <w:noProof/>
          <w:color w:val="000000"/>
          <w:sz w:val="20"/>
          <w:szCs w:val="20"/>
        </w:rPr>
      </w:pPr>
    </w:p>
    <w:p w14:paraId="6068902D" w14:textId="77777777" w:rsidR="00CB4EBF" w:rsidRPr="001C431F" w:rsidRDefault="00CB4EBF" w:rsidP="00CB4EBF">
      <w:p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 xml:space="preserve">Država članica snosi obvezu vraćanja nepropisno isplaćenog iznosa kako je opisano u točki 7.3.1., osim ako dokaže da je jedini partner ili partner već prenio nepropisni iznos vodećem partneru koji se nalazi na teritoriju druge države članice. </w:t>
      </w:r>
    </w:p>
    <w:p w14:paraId="266FFD2B" w14:textId="77777777" w:rsidR="00CB4EBF" w:rsidRPr="001C431F" w:rsidRDefault="00CB4EBF" w:rsidP="00CB4EBF">
      <w:p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Država članica snosi obvezu za moguće financijske posljedice nepravilnosti koje su posljedica djelovanja glavnog ili jedinog partnera ili partnerâ koji se nalaze na njezinom teritoriju.</w:t>
      </w:r>
    </w:p>
    <w:p w14:paraId="315026E6" w14:textId="77777777" w:rsidR="00CB4EBF" w:rsidRPr="001C431F" w:rsidRDefault="00CB4EBF" w:rsidP="00CB4EBF">
      <w:pPr>
        <w:spacing w:after="0" w:line="240" w:lineRule="auto"/>
        <w:jc w:val="both"/>
        <w:rPr>
          <w:rFonts w:eastAsia="Times New Roman" w:cs="Times New Roman"/>
          <w:noProof/>
          <w:color w:val="000000"/>
          <w:sz w:val="20"/>
          <w:szCs w:val="20"/>
        </w:rPr>
      </w:pPr>
    </w:p>
    <w:p w14:paraId="6AF11BF2"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i/>
          <w:iCs/>
          <w:noProof/>
          <w:color w:val="000000"/>
          <w:sz w:val="20"/>
          <w:szCs w:val="20"/>
          <w:lang w:val="hr"/>
        </w:rPr>
        <w:t>• Nepravilnosti zajedničkih upravljačkih tijela:</w:t>
      </w:r>
    </w:p>
    <w:p w14:paraId="3EC9FD50" w14:textId="77777777" w:rsidR="00CB4EBF" w:rsidRDefault="00CB4EBF" w:rsidP="00CB4EBF">
      <w:pPr>
        <w:spacing w:after="0" w:line="240" w:lineRule="auto"/>
        <w:jc w:val="both"/>
        <w:rPr>
          <w:rFonts w:eastAsia="Times New Roman" w:cs="Times New Roman"/>
          <w:noProof/>
          <w:color w:val="000000"/>
          <w:sz w:val="20"/>
          <w:szCs w:val="20"/>
        </w:rPr>
      </w:pPr>
    </w:p>
    <w:p w14:paraId="6607BD34" w14:textId="77777777" w:rsidR="00CB4EBF" w:rsidRPr="001C431F" w:rsidRDefault="00CB4EBF" w:rsidP="00CB4EBF">
      <w:p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lastRenderedPageBreak/>
        <w:t>U slučaju nepravilnosti koje su posljedica radnji i odluka upravljačkog tijela, tijela koje obavlja računovodstvenu funkciju i/ili zajedničkog tajništva, obvezu prema Europskoj komisiji i odboru za praćenje snosi država članica u kojoj se nalazi upravljačko tijelo, tijelo koje obavlja računovodstvenu funkciju i zajedničko tajništvo.</w:t>
      </w:r>
    </w:p>
    <w:p w14:paraId="51F2573F" w14:textId="77777777" w:rsidR="00CB4EBF" w:rsidRPr="001C431F" w:rsidRDefault="00CB4EBF" w:rsidP="00CB4EBF">
      <w:pPr>
        <w:spacing w:after="0" w:line="240" w:lineRule="auto"/>
        <w:jc w:val="both"/>
        <w:rPr>
          <w:rFonts w:eastAsia="Times New Roman" w:cs="Times New Roman"/>
          <w:noProof/>
          <w:color w:val="000000"/>
          <w:sz w:val="20"/>
          <w:szCs w:val="20"/>
        </w:rPr>
      </w:pPr>
    </w:p>
    <w:p w14:paraId="5909E02E"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i/>
          <w:iCs/>
          <w:noProof/>
          <w:color w:val="000000"/>
          <w:sz w:val="20"/>
          <w:szCs w:val="20"/>
          <w:lang w:val="hr"/>
        </w:rPr>
        <w:t xml:space="preserve">• Sustavna nepravilnost – na nacionalnoj razini: </w:t>
      </w:r>
    </w:p>
    <w:p w14:paraId="6AEA2BCF" w14:textId="77777777" w:rsidR="00CB4EBF" w:rsidRDefault="00CB4EBF" w:rsidP="00CB4EBF">
      <w:pPr>
        <w:spacing w:after="0" w:line="240" w:lineRule="auto"/>
        <w:jc w:val="both"/>
        <w:rPr>
          <w:rFonts w:eastAsia="Times New Roman" w:cs="Times New Roman"/>
          <w:noProof/>
          <w:color w:val="000000"/>
          <w:sz w:val="20"/>
          <w:szCs w:val="20"/>
        </w:rPr>
      </w:pPr>
    </w:p>
    <w:p w14:paraId="349FA201" w14:textId="77777777" w:rsidR="00CB4EBF" w:rsidRPr="001C431F" w:rsidRDefault="00CB4EBF" w:rsidP="00CB4EBF">
      <w:p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U slučaju da Europska komisija ili tijelo za reviziju utvrdi sustavnu pogrešku koja se može jasno povezati s državom članicom, dotična država članica snosi isključivu obvezu povrata.</w:t>
      </w:r>
    </w:p>
    <w:p w14:paraId="6B16D94D" w14:textId="77777777" w:rsidR="00CB4EBF" w:rsidRPr="001C431F" w:rsidRDefault="00CB4EBF" w:rsidP="00CB4EBF">
      <w:pPr>
        <w:spacing w:after="0" w:line="240" w:lineRule="auto"/>
        <w:jc w:val="both"/>
        <w:rPr>
          <w:rFonts w:eastAsia="Times New Roman" w:cs="Times New Roman"/>
          <w:noProof/>
          <w:color w:val="000000"/>
          <w:sz w:val="20"/>
          <w:szCs w:val="20"/>
        </w:rPr>
      </w:pPr>
    </w:p>
    <w:p w14:paraId="669B501D"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i/>
          <w:iCs/>
          <w:noProof/>
          <w:color w:val="000000"/>
          <w:sz w:val="20"/>
          <w:szCs w:val="20"/>
          <w:lang w:val="hr"/>
        </w:rPr>
        <w:t xml:space="preserve">• Sustavna nepravilnost – na programskoj razini: </w:t>
      </w:r>
    </w:p>
    <w:p w14:paraId="6F5D4D29" w14:textId="77777777" w:rsidR="00CB4EBF" w:rsidRDefault="00CB4EBF" w:rsidP="00CB4EBF">
      <w:pPr>
        <w:spacing w:after="0" w:line="240" w:lineRule="auto"/>
        <w:jc w:val="both"/>
        <w:rPr>
          <w:rFonts w:eastAsia="Times New Roman" w:cs="Times New Roman"/>
          <w:noProof/>
          <w:color w:val="000000"/>
          <w:sz w:val="20"/>
          <w:szCs w:val="20"/>
        </w:rPr>
      </w:pPr>
    </w:p>
    <w:p w14:paraId="69661BEC" w14:textId="77777777" w:rsidR="00CB4EBF" w:rsidRPr="001C431F" w:rsidRDefault="00CB4EBF" w:rsidP="00CB4EBF">
      <w:p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Za sustavnu nepravilnost ili financijski ispravak na programskoj razini koja se ne može povezati s državom članicom, obvezu zajednički i jednako snose države članice.</w:t>
      </w:r>
    </w:p>
    <w:p w14:paraId="0D4A1AA8" w14:textId="77777777" w:rsidR="00CB4EBF" w:rsidRPr="001C431F" w:rsidRDefault="00CB4EBF" w:rsidP="00CB4EBF">
      <w:pPr>
        <w:spacing w:after="0" w:line="240" w:lineRule="auto"/>
        <w:jc w:val="both"/>
        <w:rPr>
          <w:rFonts w:eastAsia="Times New Roman" w:cs="Times New Roman"/>
          <w:noProof/>
          <w:color w:val="000000"/>
          <w:sz w:val="20"/>
          <w:szCs w:val="20"/>
        </w:rPr>
      </w:pPr>
    </w:p>
    <w:p w14:paraId="6EED646A" w14:textId="77777777" w:rsidR="00CB4EBF" w:rsidRPr="001C431F" w:rsidRDefault="00CB4EBF" w:rsidP="00CB4EBF">
      <w:pPr>
        <w:spacing w:after="0" w:line="240" w:lineRule="auto"/>
        <w:jc w:val="both"/>
        <w:rPr>
          <w:rFonts w:eastAsia="Times New Roman" w:cs="Times New Roman"/>
          <w:i/>
          <w:noProof/>
          <w:color w:val="000000"/>
          <w:sz w:val="20"/>
          <w:szCs w:val="20"/>
        </w:rPr>
      </w:pPr>
      <w:r>
        <w:rPr>
          <w:rFonts w:eastAsia="Times New Roman" w:cs="Times New Roman"/>
          <w:i/>
          <w:iCs/>
          <w:noProof/>
          <w:color w:val="000000"/>
          <w:sz w:val="20"/>
          <w:szCs w:val="20"/>
          <w:lang w:val="hr"/>
        </w:rPr>
        <w:t xml:space="preserve">• Financijski ispravak na programskoj razini: </w:t>
      </w:r>
    </w:p>
    <w:p w14:paraId="243217FE" w14:textId="77777777" w:rsidR="00CB4EBF" w:rsidRDefault="00CB4EBF" w:rsidP="00CB4EBF">
      <w:pPr>
        <w:spacing w:after="0" w:line="240" w:lineRule="auto"/>
        <w:jc w:val="both"/>
        <w:rPr>
          <w:rFonts w:eastAsia="Times New Roman" w:cs="Times New Roman"/>
          <w:noProof/>
          <w:color w:val="000000"/>
          <w:sz w:val="20"/>
          <w:szCs w:val="20"/>
        </w:rPr>
      </w:pPr>
    </w:p>
    <w:p w14:paraId="30CF2AE4" w14:textId="77777777" w:rsidR="00CB4EBF" w:rsidRPr="001C431F" w:rsidRDefault="00CB4EBF" w:rsidP="00CB4EBF">
      <w:p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Ako Europska komisija utvrdi financijski ispravak na programskoj razini, obvezu utvrđuje upravljačko tijelo, tijelo za reviziju i tijelo koje obavlja računovodstvene funkcije.  Država članica, kao opće pravilo, snosi obvezu plaćanja takvog ispravka. Država članica plaća dio ispravka koji je razmjeran iznosima za koje je tijelo za reviziju utvrdilo da ih je država članica nepropisno potvrdila.</w:t>
      </w:r>
    </w:p>
    <w:p w14:paraId="16AD2879" w14:textId="77777777" w:rsidR="00CB4EBF" w:rsidRPr="001C431F" w:rsidRDefault="00CB4EBF" w:rsidP="00CB4EBF">
      <w:pPr>
        <w:spacing w:after="0" w:line="240" w:lineRule="auto"/>
        <w:jc w:val="both"/>
        <w:rPr>
          <w:rFonts w:cs="Times New Roman"/>
          <w:color w:val="000000"/>
          <w:sz w:val="20"/>
          <w:szCs w:val="20"/>
        </w:rPr>
      </w:pPr>
    </w:p>
    <w:p w14:paraId="0BF673EA" w14:textId="77777777" w:rsidR="00CB4EBF" w:rsidRPr="001C431F" w:rsidRDefault="00CB4EBF" w:rsidP="00CB4EBF">
      <w:pPr>
        <w:spacing w:after="0" w:line="240" w:lineRule="auto"/>
        <w:jc w:val="both"/>
        <w:rPr>
          <w:rFonts w:eastAsia="Times New Roman" w:cs="Times New Roman"/>
          <w:noProof/>
          <w:sz w:val="20"/>
          <w:szCs w:val="20"/>
        </w:rPr>
      </w:pPr>
      <w:r>
        <w:rPr>
          <w:rFonts w:eastAsia="Times New Roman" w:cs="Times New Roman"/>
          <w:noProof/>
          <w:color w:val="000000"/>
          <w:sz w:val="20"/>
          <w:szCs w:val="20"/>
          <w:lang w:val="hr"/>
        </w:rPr>
        <w:t xml:space="preserve">Gore opisana načela obveza primjenjuju se i na financijske ispravke tehničke pomoći (TP) izračunate u skladu s člankom 27. Uredbe o Interregu, budući da bi takve ispravke bile izravna posljedica nepravilnosti povezanih s projektom (bilo sustavnih ili ne). Upravljačko će tijelo obavještavati državu članicu o svim nepravilnostima i njihovom utjecaju na TP. </w:t>
      </w:r>
    </w:p>
    <w:p w14:paraId="08C99634" w14:textId="77777777" w:rsidR="00CB4EBF" w:rsidRPr="001C431F" w:rsidRDefault="00CB4EBF" w:rsidP="00CB4EBF">
      <w:pPr>
        <w:spacing w:after="0" w:line="240" w:lineRule="auto"/>
        <w:ind w:firstLine="720"/>
        <w:jc w:val="both"/>
        <w:rPr>
          <w:rFonts w:eastAsia="Times New Roman" w:cs="Times New Roman"/>
          <w:noProof/>
          <w:color w:val="000000"/>
          <w:sz w:val="20"/>
          <w:szCs w:val="20"/>
        </w:rPr>
      </w:pPr>
    </w:p>
    <w:p w14:paraId="3893F33A" w14:textId="77777777" w:rsidR="00CB4EBF" w:rsidRPr="001C431F" w:rsidRDefault="00CB4EBF" w:rsidP="00CB4EBF">
      <w:pPr>
        <w:spacing w:after="0" w:line="240" w:lineRule="auto"/>
        <w:jc w:val="both"/>
        <w:rPr>
          <w:rFonts w:eastAsia="Times New Roman" w:cs="Times New Roman"/>
          <w:noProof/>
          <w:color w:val="000000"/>
          <w:sz w:val="20"/>
          <w:szCs w:val="20"/>
        </w:rPr>
      </w:pPr>
      <w:r>
        <w:rPr>
          <w:rFonts w:eastAsia="Times New Roman" w:cs="Times New Roman"/>
          <w:noProof/>
          <w:color w:val="000000"/>
          <w:sz w:val="20"/>
          <w:szCs w:val="20"/>
          <w:lang w:val="hr"/>
        </w:rPr>
        <w:t>Država članica izvješćuje o nepravilnostima u skladu s kriterijima za utvrđivanje slučajeva nepravilnosti koje treba prijaviti, podataka koje treba dostaviti i formata za izvješćivanje utvrđenim u UZO-u. O nepravilnostima izvješćuje država članica u kojoj izdatke plaća vodeći partner ili korisnik koji provodi projekt. Specifična procedura u tom pogledu bit će dio opisa sustava upravljanja i kontrole programa koji će se uspostaviti u skladu s člankom 69. stavkom 12. UZO-a.</w:t>
      </w:r>
    </w:p>
    <w:p w14:paraId="1EE6C39A" w14:textId="77777777" w:rsidR="00CB4EBF" w:rsidRPr="001C431F" w:rsidRDefault="00CB4EBF" w:rsidP="00CB4EBF">
      <w:pPr>
        <w:spacing w:after="0" w:line="240" w:lineRule="auto"/>
        <w:jc w:val="both"/>
        <w:rPr>
          <w:rFonts w:eastAsia="Times New Roman" w:cs="Times New Roman"/>
          <w:b/>
          <w:noProof/>
          <w:sz w:val="20"/>
          <w:szCs w:val="20"/>
        </w:rPr>
      </w:pPr>
    </w:p>
    <w:p w14:paraId="15EAA205" w14:textId="77777777" w:rsidR="00CB4EBF" w:rsidRPr="001C431F" w:rsidRDefault="00CB4EBF" w:rsidP="00CB4EBF">
      <w:pPr>
        <w:spacing w:after="0"/>
        <w:jc w:val="both"/>
        <w:rPr>
          <w:rFonts w:cs="Times New Roman"/>
          <w:noProof/>
          <w:sz w:val="20"/>
          <w:szCs w:val="20"/>
        </w:rPr>
      </w:pPr>
      <w:r>
        <w:rPr>
          <w:rFonts w:cs="Times New Roman"/>
          <w:noProof/>
          <w:sz w:val="20"/>
          <w:szCs w:val="20"/>
          <w:lang w:val="hr"/>
        </w:rPr>
        <w:br w:type="page"/>
      </w:r>
    </w:p>
    <w:p w14:paraId="655660B2" w14:textId="77777777" w:rsidR="00CB4EBF" w:rsidRPr="001C431F" w:rsidRDefault="00CB4EBF" w:rsidP="00CB4EBF">
      <w:pPr>
        <w:tabs>
          <w:tab w:val="left" w:pos="284"/>
        </w:tabs>
        <w:spacing w:after="0"/>
        <w:jc w:val="both"/>
        <w:rPr>
          <w:rFonts w:cs="Times New Roman"/>
          <w:b/>
          <w:bCs/>
          <w:noProof/>
          <w:sz w:val="20"/>
          <w:szCs w:val="20"/>
        </w:rPr>
      </w:pPr>
      <w:r>
        <w:rPr>
          <w:rFonts w:cs="Times New Roman"/>
          <w:b/>
          <w:bCs/>
          <w:noProof/>
          <w:sz w:val="20"/>
          <w:szCs w:val="20"/>
          <w:lang w:val="hr"/>
        </w:rPr>
        <w:lastRenderedPageBreak/>
        <w:t>8.</w:t>
      </w:r>
      <w:r>
        <w:rPr>
          <w:rFonts w:cs="Times New Roman"/>
          <w:b/>
          <w:bCs/>
          <w:noProof/>
          <w:sz w:val="20"/>
          <w:szCs w:val="20"/>
          <w:lang w:val="hr"/>
        </w:rPr>
        <w:tab/>
        <w:t>Upotreba jediničnih troškova, jednokratnih iznosa, paušalnih stopa i financiranja koje nije povezano s troškovima</w:t>
      </w:r>
    </w:p>
    <w:p w14:paraId="3DC8866C" w14:textId="77777777" w:rsidR="00CB4EBF" w:rsidRPr="001C431F" w:rsidRDefault="00CB4EBF" w:rsidP="00CB4EBF">
      <w:pPr>
        <w:spacing w:after="0"/>
        <w:jc w:val="both"/>
        <w:rPr>
          <w:rFonts w:eastAsia="Times New Roman" w:cs="Times New Roman"/>
          <w:i/>
          <w:noProof/>
          <w:sz w:val="20"/>
          <w:szCs w:val="20"/>
        </w:rPr>
      </w:pPr>
      <w:r>
        <w:rPr>
          <w:rFonts w:eastAsia="Times New Roman" w:cs="Times New Roman"/>
          <w:i/>
          <w:iCs/>
          <w:noProof/>
          <w:sz w:val="20"/>
          <w:szCs w:val="20"/>
          <w:lang w:val="hr"/>
        </w:rPr>
        <w:t>Upućivanje: članci 94. i 95. Uredbe (EU) 2021/1060 (Uredba o zajedničkim odredbama)</w:t>
      </w:r>
    </w:p>
    <w:p w14:paraId="50D9BD71" w14:textId="77777777" w:rsidR="00CB4EBF" w:rsidRPr="001C431F" w:rsidRDefault="00CB4EBF" w:rsidP="00CB4EBF">
      <w:pPr>
        <w:spacing w:after="0"/>
        <w:jc w:val="both"/>
        <w:rPr>
          <w:rFonts w:eastAsia="Times New Roman" w:cs="Times New Roman"/>
          <w:iCs/>
          <w:noProof/>
          <w:sz w:val="20"/>
          <w:szCs w:val="20"/>
        </w:rPr>
      </w:pPr>
      <w:r>
        <w:rPr>
          <w:rFonts w:eastAsia="Times New Roman" w:cs="Times New Roman"/>
          <w:noProof/>
          <w:sz w:val="20"/>
          <w:szCs w:val="20"/>
          <w:lang w:val="hr"/>
        </w:rPr>
        <w:t>Tablica 10. Upotreba jediničnih troškova, jednokratnih iznosa, paušalnih stopa i financiranja koje nije povezano s troškovima</w:t>
      </w:r>
    </w:p>
    <w:p w14:paraId="4C457A95" w14:textId="77777777" w:rsidR="00CB4EBF" w:rsidRPr="001C431F" w:rsidRDefault="00CB4EBF" w:rsidP="00CB4EBF">
      <w:pPr>
        <w:spacing w:after="0"/>
        <w:jc w:val="both"/>
        <w:rPr>
          <w:rFonts w:eastAsia="Times New Roman" w:cs="Times New Roman"/>
          <w:iCs/>
          <w:noProof/>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701"/>
        <w:gridCol w:w="1701"/>
      </w:tblGrid>
      <w:tr w:rsidR="00CB4EBF" w:rsidRPr="00A23750" w14:paraId="653A9CA4" w14:textId="77777777" w:rsidTr="0054762C">
        <w:tc>
          <w:tcPr>
            <w:tcW w:w="5920" w:type="dxa"/>
          </w:tcPr>
          <w:p w14:paraId="207C7A80" w14:textId="77777777" w:rsidR="00CB4EBF" w:rsidRPr="001C431F" w:rsidRDefault="00CB4EBF" w:rsidP="0054762C">
            <w:pPr>
              <w:spacing w:after="0"/>
              <w:jc w:val="both"/>
              <w:rPr>
                <w:rFonts w:cs="Times New Roman"/>
                <w:b/>
                <w:bCs/>
                <w:noProof/>
                <w:sz w:val="20"/>
                <w:szCs w:val="20"/>
              </w:rPr>
            </w:pPr>
            <w:r>
              <w:rPr>
                <w:rFonts w:cs="Times New Roman"/>
                <w:b/>
                <w:bCs/>
                <w:noProof/>
                <w:sz w:val="20"/>
                <w:szCs w:val="20"/>
                <w:lang w:val="hr"/>
              </w:rPr>
              <w:t>Namjeravana upotreba članaka 94. i 95.</w:t>
            </w:r>
          </w:p>
        </w:tc>
        <w:tc>
          <w:tcPr>
            <w:tcW w:w="1701" w:type="dxa"/>
          </w:tcPr>
          <w:p w14:paraId="62744834" w14:textId="77777777" w:rsidR="00CB4EBF" w:rsidRPr="001C431F" w:rsidRDefault="00CB4EBF" w:rsidP="0054762C">
            <w:pPr>
              <w:spacing w:after="0"/>
              <w:jc w:val="both"/>
              <w:rPr>
                <w:rFonts w:cs="Times New Roman"/>
                <w:b/>
                <w:bCs/>
                <w:noProof/>
                <w:sz w:val="20"/>
                <w:szCs w:val="20"/>
              </w:rPr>
            </w:pPr>
            <w:r>
              <w:rPr>
                <w:rFonts w:cs="Times New Roman"/>
                <w:b/>
                <w:bCs/>
                <w:noProof/>
                <w:sz w:val="20"/>
                <w:szCs w:val="20"/>
                <w:lang w:val="hr"/>
              </w:rPr>
              <w:t>DA</w:t>
            </w:r>
          </w:p>
        </w:tc>
        <w:tc>
          <w:tcPr>
            <w:tcW w:w="1701" w:type="dxa"/>
          </w:tcPr>
          <w:p w14:paraId="2202EC94" w14:textId="77777777" w:rsidR="00CB4EBF" w:rsidRPr="001C431F" w:rsidRDefault="00CB4EBF" w:rsidP="0054762C">
            <w:pPr>
              <w:spacing w:after="0"/>
              <w:jc w:val="both"/>
              <w:rPr>
                <w:rFonts w:cs="Times New Roman"/>
                <w:b/>
                <w:bCs/>
                <w:noProof/>
                <w:sz w:val="20"/>
                <w:szCs w:val="20"/>
              </w:rPr>
            </w:pPr>
            <w:r>
              <w:rPr>
                <w:rFonts w:cs="Times New Roman"/>
                <w:b/>
                <w:bCs/>
                <w:noProof/>
                <w:sz w:val="20"/>
                <w:szCs w:val="20"/>
                <w:lang w:val="hr"/>
              </w:rPr>
              <w:t>NE</w:t>
            </w:r>
          </w:p>
        </w:tc>
      </w:tr>
      <w:tr w:rsidR="00CB4EBF" w:rsidRPr="00A23750" w14:paraId="3C2BE55D" w14:textId="77777777" w:rsidTr="0054762C">
        <w:tc>
          <w:tcPr>
            <w:tcW w:w="5920" w:type="dxa"/>
          </w:tcPr>
          <w:p w14:paraId="1498263C" w14:textId="77777777" w:rsidR="00CB4EBF" w:rsidRPr="001C431F" w:rsidRDefault="00CB4EBF" w:rsidP="0054762C">
            <w:pPr>
              <w:spacing w:after="0"/>
              <w:jc w:val="both"/>
              <w:rPr>
                <w:rFonts w:cs="Times New Roman"/>
                <w:b/>
                <w:bCs/>
                <w:noProof/>
                <w:sz w:val="20"/>
                <w:szCs w:val="20"/>
              </w:rPr>
            </w:pPr>
            <w:r>
              <w:rPr>
                <w:rFonts w:eastAsia="Times New Roman" w:cs="Times New Roman"/>
                <w:b/>
                <w:bCs/>
                <w:noProof/>
                <w:sz w:val="20"/>
                <w:szCs w:val="20"/>
                <w:lang w:val="hr"/>
              </w:rPr>
              <w:t>Od trenutka donošenja u okviru programa primjenjivat će se nadoknada prihvatljivih rashoda na temelju jediničnih troškova, jednokratnih iznosa i paušalnih stopa iz prioriteta u skladu s člankom 94. Uredbe o zajedničkim odredbama (ako je odgovor „da”, ispunite Dodatak 1.)</w:t>
            </w:r>
          </w:p>
        </w:tc>
        <w:tc>
          <w:tcPr>
            <w:tcW w:w="1701" w:type="dxa"/>
          </w:tcPr>
          <w:p w14:paraId="2BFF796E" w14:textId="77777777" w:rsidR="00CB4EBF" w:rsidRPr="001C431F" w:rsidRDefault="00CB4EBF" w:rsidP="0054762C">
            <w:pPr>
              <w:spacing w:after="0"/>
              <w:jc w:val="both"/>
              <w:rPr>
                <w:rFonts w:cs="Times New Roman"/>
                <w:b/>
                <w:bCs/>
                <w:noProof/>
                <w:sz w:val="20"/>
                <w:szCs w:val="20"/>
              </w:rPr>
            </w:pPr>
            <w:r>
              <w:rPr>
                <w:rFonts w:cs="Times New Roman"/>
                <w:b/>
                <w:bCs/>
                <w:noProof/>
                <w:sz w:val="20"/>
                <w:szCs w:val="20"/>
                <w:lang w:val="hr"/>
              </w:rPr>
              <w:fldChar w:fldCharType="begin">
                <w:ffData>
                  <w:name w:val="Check2"/>
                  <w:enabled/>
                  <w:calcOnExit w:val="0"/>
                  <w:checkBox>
                    <w:sizeAuto/>
                    <w:default w:val="0"/>
                  </w:checkBox>
                </w:ffData>
              </w:fldChar>
            </w:r>
            <w:r>
              <w:rPr>
                <w:rFonts w:cs="Times New Roman"/>
                <w:b/>
                <w:bCs/>
                <w:noProof/>
                <w:sz w:val="20"/>
                <w:szCs w:val="20"/>
                <w:lang w:val="hr"/>
              </w:rPr>
              <w:instrText xml:space="preserve"> FORMCHECKBOX </w:instrText>
            </w:r>
            <w:r>
              <w:rPr>
                <w:rFonts w:cs="Times New Roman"/>
                <w:b/>
                <w:bCs/>
                <w:noProof/>
                <w:sz w:val="20"/>
                <w:szCs w:val="20"/>
                <w:lang w:val="hr"/>
              </w:rPr>
            </w:r>
            <w:r>
              <w:rPr>
                <w:rFonts w:cs="Times New Roman"/>
                <w:b/>
                <w:bCs/>
                <w:noProof/>
                <w:sz w:val="20"/>
                <w:szCs w:val="20"/>
                <w:lang w:val="hr"/>
              </w:rPr>
              <w:fldChar w:fldCharType="separate"/>
            </w:r>
            <w:r>
              <w:rPr>
                <w:rFonts w:cs="Times New Roman"/>
                <w:b/>
                <w:bCs/>
                <w:noProof/>
                <w:sz w:val="20"/>
                <w:szCs w:val="20"/>
                <w:lang w:val="hr"/>
              </w:rPr>
              <w:fldChar w:fldCharType="end"/>
            </w:r>
          </w:p>
        </w:tc>
        <w:tc>
          <w:tcPr>
            <w:tcW w:w="1701" w:type="dxa"/>
          </w:tcPr>
          <w:p w14:paraId="02E23C31" w14:textId="77777777" w:rsidR="00CB4EBF" w:rsidRPr="001C431F" w:rsidRDefault="00CB4EBF" w:rsidP="0054762C">
            <w:pPr>
              <w:spacing w:after="0"/>
              <w:jc w:val="both"/>
              <w:rPr>
                <w:rFonts w:cs="Times New Roman"/>
                <w:b/>
                <w:bCs/>
                <w:noProof/>
                <w:sz w:val="20"/>
                <w:szCs w:val="20"/>
              </w:rPr>
            </w:pPr>
            <w:r>
              <w:rPr>
                <w:rFonts w:cs="Times New Roman"/>
                <w:b/>
                <w:bCs/>
                <w:noProof/>
                <w:sz w:val="20"/>
                <w:szCs w:val="20"/>
                <w:lang w:val="hr"/>
              </w:rPr>
              <w:fldChar w:fldCharType="begin">
                <w:ffData>
                  <w:name w:val="Check1"/>
                  <w:enabled/>
                  <w:calcOnExit w:val="0"/>
                  <w:checkBox>
                    <w:sizeAuto/>
                    <w:default w:val="1"/>
                  </w:checkBox>
                </w:ffData>
              </w:fldChar>
            </w:r>
            <w:r>
              <w:rPr>
                <w:rFonts w:cs="Times New Roman"/>
                <w:b/>
                <w:bCs/>
                <w:noProof/>
                <w:sz w:val="20"/>
                <w:szCs w:val="20"/>
                <w:lang w:val="hr"/>
              </w:rPr>
              <w:instrText xml:space="preserve"> </w:instrText>
            </w:r>
            <w:bookmarkStart w:id="8" w:name="Check1"/>
            <w:r>
              <w:rPr>
                <w:rFonts w:cs="Times New Roman"/>
                <w:b/>
                <w:bCs/>
                <w:noProof/>
                <w:sz w:val="20"/>
                <w:szCs w:val="20"/>
                <w:lang w:val="hr"/>
              </w:rPr>
              <w:instrText xml:space="preserve">FORMCHECKBOX </w:instrText>
            </w:r>
            <w:r>
              <w:rPr>
                <w:rFonts w:cs="Times New Roman"/>
                <w:b/>
                <w:bCs/>
                <w:noProof/>
                <w:sz w:val="20"/>
                <w:szCs w:val="20"/>
                <w:lang w:val="hr"/>
              </w:rPr>
            </w:r>
            <w:r>
              <w:rPr>
                <w:rFonts w:cs="Times New Roman"/>
                <w:b/>
                <w:bCs/>
                <w:noProof/>
                <w:sz w:val="20"/>
                <w:szCs w:val="20"/>
                <w:lang w:val="hr"/>
              </w:rPr>
              <w:fldChar w:fldCharType="separate"/>
            </w:r>
            <w:r>
              <w:rPr>
                <w:rFonts w:cs="Times New Roman"/>
                <w:b/>
                <w:bCs/>
                <w:noProof/>
                <w:sz w:val="20"/>
                <w:szCs w:val="20"/>
                <w:lang w:val="hr"/>
              </w:rPr>
              <w:fldChar w:fldCharType="end"/>
            </w:r>
            <w:bookmarkEnd w:id="8"/>
          </w:p>
        </w:tc>
      </w:tr>
      <w:tr w:rsidR="00CB4EBF" w:rsidRPr="00A23750" w14:paraId="34ABC68B" w14:textId="77777777" w:rsidTr="0054762C">
        <w:tc>
          <w:tcPr>
            <w:tcW w:w="5920" w:type="dxa"/>
          </w:tcPr>
          <w:p w14:paraId="7B0AF827" w14:textId="77777777" w:rsidR="00CB4EBF" w:rsidRPr="001C431F" w:rsidRDefault="00CB4EBF" w:rsidP="0054762C">
            <w:pPr>
              <w:spacing w:after="0"/>
              <w:jc w:val="both"/>
              <w:rPr>
                <w:rFonts w:eastAsia="Times New Roman" w:cs="Times New Roman"/>
                <w:b/>
                <w:bCs/>
                <w:i/>
                <w:noProof/>
                <w:sz w:val="20"/>
                <w:szCs w:val="20"/>
              </w:rPr>
            </w:pPr>
            <w:r>
              <w:rPr>
                <w:rFonts w:eastAsia="Times New Roman" w:cs="Times New Roman"/>
                <w:b/>
                <w:bCs/>
                <w:noProof/>
                <w:sz w:val="20"/>
                <w:szCs w:val="20"/>
                <w:lang w:val="hr"/>
              </w:rPr>
              <w:t>Od trenutka donošenja u okviru programa primjenjivat financiranje koje nije povezano s troškovima u skladu s člankom 95. Uredbe o zajedničkim odredbama (ako je odgovor „da”, ispunite Dodatak 2.)</w:t>
            </w:r>
          </w:p>
        </w:tc>
        <w:tc>
          <w:tcPr>
            <w:tcW w:w="1701" w:type="dxa"/>
          </w:tcPr>
          <w:p w14:paraId="6EDED911" w14:textId="77777777" w:rsidR="00CB4EBF" w:rsidRPr="001C431F" w:rsidRDefault="00CB4EBF" w:rsidP="0054762C">
            <w:pPr>
              <w:spacing w:after="0"/>
              <w:jc w:val="both"/>
              <w:rPr>
                <w:rFonts w:cs="Times New Roman"/>
                <w:b/>
                <w:bCs/>
                <w:noProof/>
                <w:sz w:val="20"/>
                <w:szCs w:val="20"/>
              </w:rPr>
            </w:pPr>
            <w:r>
              <w:rPr>
                <w:rFonts w:cs="Times New Roman"/>
                <w:b/>
                <w:bCs/>
                <w:noProof/>
                <w:sz w:val="20"/>
                <w:szCs w:val="20"/>
                <w:lang w:val="hr"/>
              </w:rPr>
              <w:fldChar w:fldCharType="begin">
                <w:ffData>
                  <w:name w:val="Check2"/>
                  <w:enabled/>
                  <w:calcOnExit w:val="0"/>
                  <w:checkBox>
                    <w:sizeAuto/>
                    <w:default w:val="0"/>
                  </w:checkBox>
                </w:ffData>
              </w:fldChar>
            </w:r>
            <w:r>
              <w:rPr>
                <w:rFonts w:cs="Times New Roman"/>
                <w:b/>
                <w:bCs/>
                <w:noProof/>
                <w:sz w:val="20"/>
                <w:szCs w:val="20"/>
                <w:lang w:val="hr"/>
              </w:rPr>
              <w:instrText xml:space="preserve"> FORMCHECKBOX </w:instrText>
            </w:r>
            <w:r>
              <w:rPr>
                <w:rFonts w:cs="Times New Roman"/>
                <w:b/>
                <w:bCs/>
                <w:noProof/>
                <w:sz w:val="20"/>
                <w:szCs w:val="20"/>
                <w:lang w:val="hr"/>
              </w:rPr>
            </w:r>
            <w:r>
              <w:rPr>
                <w:rFonts w:cs="Times New Roman"/>
                <w:b/>
                <w:bCs/>
                <w:noProof/>
                <w:sz w:val="20"/>
                <w:szCs w:val="20"/>
                <w:lang w:val="hr"/>
              </w:rPr>
              <w:fldChar w:fldCharType="separate"/>
            </w:r>
            <w:r>
              <w:rPr>
                <w:rFonts w:cs="Times New Roman"/>
                <w:b/>
                <w:bCs/>
                <w:noProof/>
                <w:sz w:val="20"/>
                <w:szCs w:val="20"/>
                <w:lang w:val="hr"/>
              </w:rPr>
              <w:fldChar w:fldCharType="end"/>
            </w:r>
          </w:p>
        </w:tc>
        <w:tc>
          <w:tcPr>
            <w:tcW w:w="1701" w:type="dxa"/>
          </w:tcPr>
          <w:p w14:paraId="763A4667" w14:textId="77777777" w:rsidR="00CB4EBF" w:rsidRPr="001C431F" w:rsidRDefault="00CB4EBF" w:rsidP="0054762C">
            <w:pPr>
              <w:spacing w:after="0"/>
              <w:jc w:val="both"/>
              <w:rPr>
                <w:rFonts w:cs="Times New Roman"/>
                <w:b/>
                <w:bCs/>
                <w:noProof/>
                <w:sz w:val="20"/>
                <w:szCs w:val="20"/>
              </w:rPr>
            </w:pPr>
            <w:r>
              <w:rPr>
                <w:rFonts w:cs="Times New Roman"/>
                <w:b/>
                <w:bCs/>
                <w:noProof/>
                <w:sz w:val="20"/>
                <w:szCs w:val="20"/>
                <w:lang w:val="hr"/>
              </w:rPr>
              <w:fldChar w:fldCharType="begin">
                <w:ffData>
                  <w:name w:val="Check2"/>
                  <w:enabled/>
                  <w:calcOnExit w:val="0"/>
                  <w:checkBox>
                    <w:sizeAuto/>
                    <w:default w:val="1"/>
                  </w:checkBox>
                </w:ffData>
              </w:fldChar>
            </w:r>
            <w:r>
              <w:rPr>
                <w:rFonts w:cs="Times New Roman"/>
                <w:b/>
                <w:bCs/>
                <w:noProof/>
                <w:sz w:val="20"/>
                <w:szCs w:val="20"/>
                <w:lang w:val="hr"/>
              </w:rPr>
              <w:instrText xml:space="preserve"> </w:instrText>
            </w:r>
            <w:bookmarkStart w:id="9" w:name="Check2"/>
            <w:r>
              <w:rPr>
                <w:rFonts w:cs="Times New Roman"/>
                <w:b/>
                <w:bCs/>
                <w:noProof/>
                <w:sz w:val="20"/>
                <w:szCs w:val="20"/>
                <w:lang w:val="hr"/>
              </w:rPr>
              <w:instrText xml:space="preserve">FORMCHECKBOX </w:instrText>
            </w:r>
            <w:r>
              <w:rPr>
                <w:rFonts w:cs="Times New Roman"/>
                <w:b/>
                <w:bCs/>
                <w:noProof/>
                <w:sz w:val="20"/>
                <w:szCs w:val="20"/>
                <w:lang w:val="hr"/>
              </w:rPr>
            </w:r>
            <w:r>
              <w:rPr>
                <w:rFonts w:cs="Times New Roman"/>
                <w:b/>
                <w:bCs/>
                <w:noProof/>
                <w:sz w:val="20"/>
                <w:szCs w:val="20"/>
                <w:lang w:val="hr"/>
              </w:rPr>
              <w:fldChar w:fldCharType="separate"/>
            </w:r>
            <w:r>
              <w:rPr>
                <w:rFonts w:cs="Times New Roman"/>
                <w:b/>
                <w:bCs/>
                <w:noProof/>
                <w:sz w:val="20"/>
                <w:szCs w:val="20"/>
                <w:lang w:val="hr"/>
              </w:rPr>
              <w:fldChar w:fldCharType="end"/>
            </w:r>
            <w:bookmarkEnd w:id="9"/>
          </w:p>
        </w:tc>
      </w:tr>
    </w:tbl>
    <w:p w14:paraId="3CEC9657" w14:textId="77777777" w:rsidR="00CB4EBF" w:rsidRPr="001C431F" w:rsidRDefault="00CB4EBF" w:rsidP="00CB4EBF">
      <w:pPr>
        <w:spacing w:after="0"/>
        <w:jc w:val="both"/>
        <w:rPr>
          <w:rFonts w:eastAsia="Times New Roman" w:cs="Times New Roman"/>
          <w:b/>
          <w:noProof/>
          <w:sz w:val="20"/>
          <w:szCs w:val="20"/>
        </w:rPr>
      </w:pPr>
    </w:p>
    <w:p w14:paraId="5B506B42" w14:textId="77777777" w:rsidR="00CB4EBF" w:rsidRPr="001C431F" w:rsidRDefault="00CB4EBF" w:rsidP="00CB4EBF">
      <w:pPr>
        <w:spacing w:after="0"/>
        <w:jc w:val="both"/>
        <w:rPr>
          <w:rFonts w:eastAsia="Times New Roman" w:cs="Times New Roman"/>
          <w:b/>
          <w:noProof/>
          <w:sz w:val="20"/>
          <w:szCs w:val="20"/>
        </w:rPr>
      </w:pPr>
      <w:r>
        <w:rPr>
          <w:rFonts w:cs="Times New Roman"/>
          <w:noProof/>
          <w:sz w:val="20"/>
          <w:szCs w:val="20"/>
          <w:lang w:val="hr"/>
        </w:rPr>
        <w:br w:type="page"/>
      </w:r>
      <w:r>
        <w:rPr>
          <w:rFonts w:cs="Times New Roman"/>
          <w:b/>
          <w:bCs/>
          <w:noProof/>
          <w:sz w:val="20"/>
          <w:szCs w:val="20"/>
          <w:lang w:val="hr"/>
        </w:rPr>
        <w:lastRenderedPageBreak/>
        <w:t>DODACI</w:t>
      </w:r>
    </w:p>
    <w:p w14:paraId="372FB325" w14:textId="77777777" w:rsidR="00CB4EBF" w:rsidRPr="001C431F" w:rsidRDefault="00CB4EBF" w:rsidP="00CB4EBF">
      <w:pPr>
        <w:spacing w:after="0"/>
        <w:ind w:left="720"/>
        <w:contextualSpacing/>
        <w:jc w:val="both"/>
        <w:rPr>
          <w:rFonts w:eastAsia="Times New Roman" w:cs="Times New Roman"/>
          <w:bCs/>
          <w:noProof/>
          <w:sz w:val="20"/>
          <w:szCs w:val="20"/>
        </w:rPr>
      </w:pPr>
    </w:p>
    <w:p w14:paraId="3BF8690F" w14:textId="77777777" w:rsidR="00CB4EBF" w:rsidRPr="001C431F" w:rsidRDefault="00CB4EBF" w:rsidP="00CB4EBF">
      <w:pPr>
        <w:spacing w:after="0"/>
        <w:ind w:left="1418" w:hanging="1418"/>
        <w:jc w:val="both"/>
        <w:rPr>
          <w:rFonts w:eastAsia="Times New Roman" w:cs="Times New Roman"/>
          <w:bCs/>
          <w:noProof/>
          <w:sz w:val="20"/>
          <w:szCs w:val="20"/>
        </w:rPr>
      </w:pPr>
      <w:r>
        <w:rPr>
          <w:rFonts w:eastAsia="Times New Roman" w:cs="Times New Roman"/>
          <w:noProof/>
          <w:sz w:val="20"/>
          <w:szCs w:val="20"/>
          <w:lang w:val="hr"/>
        </w:rPr>
        <w:t>Karta 1.:</w:t>
      </w:r>
      <w:r>
        <w:rPr>
          <w:rFonts w:eastAsia="Times New Roman" w:cs="Times New Roman"/>
          <w:noProof/>
          <w:sz w:val="20"/>
          <w:szCs w:val="20"/>
          <w:lang w:val="hr"/>
        </w:rPr>
        <w:tab/>
        <w:t>Karta programskog područja</w:t>
      </w:r>
    </w:p>
    <w:p w14:paraId="43E33D64" w14:textId="77777777" w:rsidR="00CB4EBF" w:rsidRPr="001C431F" w:rsidRDefault="00CB4EBF" w:rsidP="00CB4EBF">
      <w:pPr>
        <w:spacing w:after="0"/>
        <w:ind w:left="1418" w:hanging="1418"/>
        <w:jc w:val="both"/>
        <w:rPr>
          <w:rFonts w:cs="Times New Roman"/>
          <w:bCs/>
          <w:i/>
          <w:noProof/>
          <w:sz w:val="20"/>
          <w:szCs w:val="20"/>
        </w:rPr>
      </w:pPr>
      <w:r>
        <w:rPr>
          <w:rFonts w:eastAsia="Times New Roman" w:cs="Times New Roman"/>
          <w:noProof/>
          <w:sz w:val="20"/>
          <w:szCs w:val="20"/>
          <w:lang w:val="hr"/>
        </w:rPr>
        <w:t>Dodatak 1.:</w:t>
      </w:r>
      <w:r>
        <w:rPr>
          <w:rFonts w:eastAsia="Times New Roman" w:cs="Times New Roman"/>
          <w:noProof/>
          <w:sz w:val="20"/>
          <w:szCs w:val="20"/>
          <w:lang w:val="hr"/>
        </w:rPr>
        <w:tab/>
        <w:t>Doprinos Unije na temelju jediničnih troškova, jednokratnih iznosa i paušalnih stopa nije primjenjivo</w:t>
      </w:r>
    </w:p>
    <w:p w14:paraId="7FB6F01A" w14:textId="77777777" w:rsidR="00CB4EBF" w:rsidRPr="001C431F" w:rsidRDefault="00CB4EBF" w:rsidP="00CB4EBF">
      <w:pPr>
        <w:spacing w:after="0"/>
        <w:ind w:left="1418" w:hanging="1418"/>
        <w:jc w:val="both"/>
        <w:rPr>
          <w:rFonts w:cs="Times New Roman"/>
          <w:i/>
          <w:noProof/>
          <w:sz w:val="20"/>
          <w:szCs w:val="20"/>
        </w:rPr>
      </w:pPr>
      <w:r>
        <w:rPr>
          <w:rFonts w:eastAsia="Times New Roman" w:cs="Times New Roman"/>
          <w:noProof/>
          <w:sz w:val="20"/>
          <w:szCs w:val="20"/>
          <w:lang w:val="hr"/>
        </w:rPr>
        <w:t>Dodatak 2.</w:t>
      </w:r>
      <w:r>
        <w:rPr>
          <w:rFonts w:eastAsia="Times New Roman" w:cs="Times New Roman"/>
          <w:noProof/>
          <w:sz w:val="20"/>
          <w:szCs w:val="20"/>
          <w:lang w:val="hr"/>
        </w:rPr>
        <w:tab/>
        <w:t>Doprinos Unije na temelju financiranja koje nije povezano s troškovima nije primjenjivo</w:t>
      </w:r>
    </w:p>
    <w:p w14:paraId="2826204A" w14:textId="77777777" w:rsidR="00CB4EBF" w:rsidRPr="001C431F" w:rsidRDefault="00CB4EBF" w:rsidP="00CB4EBF">
      <w:pPr>
        <w:spacing w:after="0"/>
        <w:ind w:left="1418" w:hanging="1418"/>
        <w:jc w:val="both"/>
        <w:rPr>
          <w:rFonts w:eastAsia="Times New Roman" w:cs="Times New Roman"/>
          <w:bCs/>
          <w:noProof/>
          <w:sz w:val="20"/>
          <w:szCs w:val="20"/>
        </w:rPr>
      </w:pPr>
      <w:r>
        <w:rPr>
          <w:rFonts w:eastAsia="Times New Roman" w:cs="Times New Roman"/>
          <w:noProof/>
          <w:sz w:val="20"/>
          <w:szCs w:val="20"/>
          <w:lang w:val="hr"/>
        </w:rPr>
        <w:t xml:space="preserve">Dodatak 3.: </w:t>
      </w:r>
      <w:r>
        <w:rPr>
          <w:rFonts w:eastAsia="Times New Roman" w:cs="Times New Roman"/>
          <w:noProof/>
          <w:sz w:val="20"/>
          <w:szCs w:val="20"/>
          <w:lang w:val="hr"/>
        </w:rPr>
        <w:tab/>
        <w:t>Popis planiranih operacija od strateške važnosti i njihov vremenski raspored</w:t>
      </w:r>
    </w:p>
    <w:p w14:paraId="59B180B0" w14:textId="77777777" w:rsidR="00CB4EBF" w:rsidRPr="001C431F" w:rsidRDefault="00CB4EBF" w:rsidP="00CB4EBF">
      <w:pPr>
        <w:spacing w:after="0"/>
        <w:jc w:val="both"/>
        <w:rPr>
          <w:rFonts w:cs="Times New Roman"/>
          <w:b/>
          <w:bCs/>
          <w:noProof/>
          <w:sz w:val="20"/>
          <w:szCs w:val="20"/>
        </w:rPr>
      </w:pPr>
      <w:r>
        <w:rPr>
          <w:rFonts w:cs="Times New Roman"/>
          <w:b/>
          <w:bCs/>
          <w:noProof/>
          <w:sz w:val="20"/>
          <w:szCs w:val="20"/>
          <w:lang w:val="hr"/>
        </w:rPr>
        <w:br w:type="page"/>
      </w:r>
    </w:p>
    <w:p w14:paraId="09A2B68F" w14:textId="77777777" w:rsidR="00CB4EBF" w:rsidRPr="001C431F" w:rsidRDefault="00CB4EBF" w:rsidP="00CB4EBF">
      <w:pPr>
        <w:spacing w:after="0"/>
        <w:jc w:val="both"/>
        <w:rPr>
          <w:rFonts w:eastAsia="Times New Roman" w:cs="Times New Roman"/>
          <w:b/>
          <w:bCs/>
          <w:noProof/>
          <w:sz w:val="20"/>
          <w:szCs w:val="20"/>
        </w:rPr>
      </w:pPr>
      <w:r>
        <w:rPr>
          <w:rFonts w:eastAsia="Times New Roman" w:cs="Times New Roman"/>
          <w:b/>
          <w:bCs/>
          <w:noProof/>
          <w:sz w:val="20"/>
          <w:szCs w:val="20"/>
          <w:lang w:val="hr"/>
        </w:rPr>
        <w:lastRenderedPageBreak/>
        <w:t>Karta 1.</w:t>
      </w:r>
    </w:p>
    <w:p w14:paraId="42423E87" w14:textId="77777777" w:rsidR="00CB4EBF" w:rsidRPr="001C431F" w:rsidRDefault="00CB4EBF" w:rsidP="00CB4EBF">
      <w:pPr>
        <w:spacing w:after="0"/>
        <w:jc w:val="both"/>
        <w:rPr>
          <w:rFonts w:eastAsia="Times New Roman" w:cs="Times New Roman"/>
          <w:bCs/>
          <w:noProof/>
          <w:sz w:val="20"/>
          <w:szCs w:val="20"/>
        </w:rPr>
      </w:pPr>
      <w:r>
        <w:rPr>
          <w:rFonts w:eastAsia="Times New Roman" w:cs="Times New Roman"/>
          <w:noProof/>
          <w:sz w:val="20"/>
          <w:szCs w:val="20"/>
          <w:lang w:val="hr"/>
        </w:rPr>
        <w:t>Karta programskog područja</w:t>
      </w:r>
    </w:p>
    <w:p w14:paraId="02658BD3" w14:textId="77777777" w:rsidR="00CB4EBF" w:rsidRPr="001C431F" w:rsidRDefault="00CB4EBF" w:rsidP="00CB4EBF">
      <w:pPr>
        <w:spacing w:after="0"/>
        <w:jc w:val="both"/>
        <w:rPr>
          <w:rFonts w:cs="Times New Roman"/>
          <w:noProof/>
          <w:sz w:val="20"/>
          <w:szCs w:val="20"/>
        </w:rPr>
      </w:pPr>
    </w:p>
    <w:p w14:paraId="0CB1DBC5" w14:textId="77777777" w:rsidR="00CB4EBF" w:rsidRPr="001C431F" w:rsidRDefault="00CB4EBF" w:rsidP="00CB4EBF">
      <w:pPr>
        <w:spacing w:after="0"/>
        <w:jc w:val="both"/>
        <w:rPr>
          <w:rFonts w:eastAsia="Times New Roman" w:cs="Times New Roman"/>
          <w:bCs/>
          <w:noProof/>
          <w:sz w:val="20"/>
          <w:szCs w:val="20"/>
        </w:rPr>
      </w:pPr>
      <w:r>
        <w:rPr>
          <w:rFonts w:eastAsia="Times New Roman" w:cs="Times New Roman"/>
          <w:noProof/>
          <w:sz w:val="20"/>
          <w:szCs w:val="20"/>
          <w:lang w:val="hr"/>
        </w:rPr>
        <w:drawing>
          <wp:inline distT="0" distB="0" distL="0" distR="0" wp14:anchorId="7A90096D" wp14:editId="02C6A5E5">
            <wp:extent cx="5143500" cy="5143500"/>
            <wp:effectExtent l="0" t="0" r="0" b="0"/>
            <wp:docPr id="1" name="Kép 1" descr="C:\Users\nikoletta.horvath\Desktop\2022.01.19. huhr meeting ebéd\Programme-ar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koletta.horvath\Desktop\2022.01.19. huhr meeting ebéd\Programme-area.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3500" cy="5143500"/>
                    </a:xfrm>
                    <a:prstGeom prst="rect">
                      <a:avLst/>
                    </a:prstGeom>
                    <a:noFill/>
                    <a:ln>
                      <a:noFill/>
                    </a:ln>
                  </pic:spPr>
                </pic:pic>
              </a:graphicData>
            </a:graphic>
          </wp:inline>
        </w:drawing>
      </w:r>
    </w:p>
    <w:p w14:paraId="1E48DE4D" w14:textId="77777777" w:rsidR="00CB4EBF" w:rsidRPr="001C431F" w:rsidRDefault="00CB4EBF" w:rsidP="00CB4EBF">
      <w:pPr>
        <w:spacing w:after="0"/>
        <w:jc w:val="both"/>
        <w:rPr>
          <w:rFonts w:cs="Times New Roman"/>
          <w:b/>
          <w:bCs/>
          <w:noProof/>
          <w:sz w:val="20"/>
          <w:szCs w:val="20"/>
        </w:rPr>
      </w:pPr>
      <w:r>
        <w:rPr>
          <w:rFonts w:cs="Times New Roman"/>
          <w:b/>
          <w:bCs/>
          <w:noProof/>
          <w:sz w:val="20"/>
          <w:szCs w:val="20"/>
          <w:lang w:val="hr"/>
        </w:rPr>
        <w:br w:type="page"/>
      </w:r>
    </w:p>
    <w:p w14:paraId="6C84F040" w14:textId="77777777" w:rsidR="00CB4EBF" w:rsidRPr="001C431F" w:rsidRDefault="00CB4EBF" w:rsidP="00CB4EBF">
      <w:pPr>
        <w:spacing w:after="0"/>
        <w:jc w:val="both"/>
        <w:rPr>
          <w:rFonts w:cs="Times New Roman"/>
          <w:b/>
          <w:bCs/>
          <w:noProof/>
          <w:sz w:val="20"/>
          <w:szCs w:val="20"/>
        </w:rPr>
      </w:pPr>
      <w:r>
        <w:rPr>
          <w:rFonts w:cs="Times New Roman"/>
          <w:b/>
          <w:bCs/>
          <w:i/>
          <w:iCs/>
          <w:noProof/>
          <w:sz w:val="20"/>
          <w:szCs w:val="20"/>
          <w:lang w:val="hr"/>
        </w:rPr>
        <w:lastRenderedPageBreak/>
        <w:t xml:space="preserve">Dodatak 1. </w:t>
      </w:r>
      <w:r>
        <w:rPr>
          <w:rFonts w:cs="Times New Roman"/>
          <w:b/>
          <w:bCs/>
          <w:noProof/>
          <w:sz w:val="20"/>
          <w:szCs w:val="20"/>
          <w:lang w:val="hr"/>
        </w:rPr>
        <w:t>Nije primjenjivo</w:t>
      </w:r>
    </w:p>
    <w:p w14:paraId="4301B25C" w14:textId="77777777" w:rsidR="00CB4EBF" w:rsidRPr="001C431F" w:rsidRDefault="00CB4EBF" w:rsidP="00CB4EBF">
      <w:pPr>
        <w:spacing w:after="0"/>
        <w:jc w:val="both"/>
        <w:rPr>
          <w:rFonts w:eastAsia="Times New Roman" w:cs="Times New Roman"/>
          <w:b/>
          <w:bCs/>
          <w:i/>
          <w:iCs/>
          <w:noProof/>
          <w:sz w:val="20"/>
          <w:szCs w:val="20"/>
        </w:rPr>
      </w:pPr>
    </w:p>
    <w:p w14:paraId="33245342" w14:textId="77777777" w:rsidR="00CB4EBF" w:rsidRPr="001C431F" w:rsidRDefault="00CB4EBF" w:rsidP="00CB4EBF">
      <w:pPr>
        <w:spacing w:after="0"/>
        <w:jc w:val="both"/>
        <w:rPr>
          <w:rFonts w:eastAsia="Times New Roman" w:cs="Times New Roman"/>
          <w:b/>
          <w:iCs/>
          <w:sz w:val="20"/>
          <w:szCs w:val="20"/>
        </w:rPr>
      </w:pPr>
      <w:r>
        <w:rPr>
          <w:rFonts w:eastAsia="Times New Roman" w:cs="Times New Roman"/>
          <w:b/>
          <w:bCs/>
          <w:sz w:val="20"/>
          <w:szCs w:val="20"/>
          <w:lang w:val="hr"/>
        </w:rPr>
        <w:t>Doprinos Unije na temelju jediničnih troškova, jednokratnih iznosa i paušalnih stopa</w:t>
      </w:r>
    </w:p>
    <w:p w14:paraId="139ACAAB" w14:textId="77777777" w:rsidR="00CB4EBF" w:rsidRPr="001C431F" w:rsidRDefault="00CB4EBF" w:rsidP="00CB4EBF">
      <w:pPr>
        <w:spacing w:after="0"/>
        <w:jc w:val="both"/>
        <w:rPr>
          <w:rFonts w:cs="Times New Roman"/>
          <w:b/>
          <w:bCs/>
          <w:noProof/>
          <w:sz w:val="20"/>
          <w:szCs w:val="20"/>
        </w:rPr>
      </w:pPr>
      <w:r>
        <w:rPr>
          <w:rFonts w:cs="Times New Roman"/>
          <w:b/>
          <w:bCs/>
          <w:noProof/>
          <w:sz w:val="20"/>
          <w:szCs w:val="20"/>
          <w:lang w:val="hr"/>
        </w:rPr>
        <w:t>Predložak za podnošenje podataka Komisiji na razmatranje</w:t>
      </w:r>
    </w:p>
    <w:p w14:paraId="345DC4BC" w14:textId="77777777" w:rsidR="00CB4EBF" w:rsidRPr="001C431F" w:rsidRDefault="00CB4EBF" w:rsidP="00CB4EBF">
      <w:pPr>
        <w:spacing w:after="0"/>
        <w:jc w:val="both"/>
        <w:rPr>
          <w:rFonts w:cs="Times New Roman"/>
          <w:i/>
          <w:noProof/>
          <w:sz w:val="20"/>
          <w:szCs w:val="20"/>
        </w:rPr>
      </w:pPr>
      <w:r>
        <w:rPr>
          <w:rFonts w:cs="Times New Roman"/>
          <w:noProof/>
          <w:sz w:val="20"/>
          <w:szCs w:val="20"/>
          <w:lang w:val="hr"/>
        </w:rPr>
        <w:t>(članak 94. Uredbe (EU) 2021/1060 (Uredba o zajedničkim odredbama))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CB4EBF" w:rsidRPr="00A23750" w14:paraId="0533988D" w14:textId="77777777" w:rsidTr="0054762C">
        <w:tc>
          <w:tcPr>
            <w:tcW w:w="4644" w:type="dxa"/>
            <w:shd w:val="clear" w:color="auto" w:fill="auto"/>
          </w:tcPr>
          <w:p w14:paraId="0C512622" w14:textId="77777777" w:rsidR="00CB4EBF" w:rsidRPr="001C431F" w:rsidRDefault="00CB4EBF" w:rsidP="0054762C">
            <w:pPr>
              <w:spacing w:after="0"/>
              <w:jc w:val="both"/>
              <w:rPr>
                <w:rFonts w:cs="Times New Roman"/>
                <w:noProof/>
                <w:sz w:val="20"/>
                <w:szCs w:val="20"/>
              </w:rPr>
            </w:pPr>
            <w:r>
              <w:rPr>
                <w:rFonts w:cs="Times New Roman"/>
                <w:noProof/>
                <w:sz w:val="20"/>
                <w:szCs w:val="20"/>
                <w:lang w:val="hr"/>
              </w:rPr>
              <w:t>Datum podnošenja prijedloga</w:t>
            </w:r>
          </w:p>
        </w:tc>
        <w:tc>
          <w:tcPr>
            <w:tcW w:w="4644" w:type="dxa"/>
            <w:shd w:val="clear" w:color="auto" w:fill="auto"/>
          </w:tcPr>
          <w:p w14:paraId="2030A4EB" w14:textId="77777777" w:rsidR="00CB4EBF" w:rsidRPr="001C431F" w:rsidRDefault="00CB4EBF" w:rsidP="0054762C">
            <w:pPr>
              <w:spacing w:after="0"/>
              <w:jc w:val="both"/>
              <w:rPr>
                <w:rFonts w:cs="Times New Roman"/>
                <w:noProof/>
                <w:sz w:val="20"/>
                <w:szCs w:val="20"/>
              </w:rPr>
            </w:pPr>
          </w:p>
        </w:tc>
      </w:tr>
      <w:tr w:rsidR="00CB4EBF" w:rsidRPr="00A23750" w14:paraId="4F62B363" w14:textId="77777777" w:rsidTr="0054762C">
        <w:tc>
          <w:tcPr>
            <w:tcW w:w="4644" w:type="dxa"/>
            <w:shd w:val="clear" w:color="auto" w:fill="auto"/>
          </w:tcPr>
          <w:p w14:paraId="27701026" w14:textId="77777777" w:rsidR="00CB4EBF" w:rsidRPr="001C431F" w:rsidRDefault="00CB4EBF" w:rsidP="0054762C">
            <w:pPr>
              <w:spacing w:after="0"/>
              <w:jc w:val="both"/>
              <w:rPr>
                <w:rFonts w:cs="Times New Roman"/>
                <w:noProof/>
                <w:sz w:val="20"/>
                <w:szCs w:val="20"/>
              </w:rPr>
            </w:pPr>
          </w:p>
        </w:tc>
        <w:tc>
          <w:tcPr>
            <w:tcW w:w="4644" w:type="dxa"/>
            <w:shd w:val="clear" w:color="auto" w:fill="auto"/>
          </w:tcPr>
          <w:p w14:paraId="11283AC1" w14:textId="77777777" w:rsidR="00CB4EBF" w:rsidRPr="001C431F" w:rsidRDefault="00CB4EBF" w:rsidP="0054762C">
            <w:pPr>
              <w:spacing w:after="0"/>
              <w:jc w:val="both"/>
              <w:rPr>
                <w:rFonts w:cs="Times New Roman"/>
                <w:noProof/>
                <w:sz w:val="20"/>
                <w:szCs w:val="20"/>
              </w:rPr>
            </w:pPr>
          </w:p>
        </w:tc>
      </w:tr>
    </w:tbl>
    <w:p w14:paraId="1888BC6D" w14:textId="77777777" w:rsidR="00CB4EBF" w:rsidRPr="001C431F" w:rsidRDefault="00CB4EBF" w:rsidP="00CB4EBF">
      <w:pPr>
        <w:spacing w:after="0"/>
        <w:jc w:val="both"/>
        <w:rPr>
          <w:rFonts w:cs="Times New Roman"/>
          <w:noProof/>
          <w:sz w:val="20"/>
          <w:szCs w:val="20"/>
        </w:rPr>
      </w:pPr>
    </w:p>
    <w:p w14:paraId="50B164CF" w14:textId="77777777" w:rsidR="00CB4EBF" w:rsidRPr="001C431F" w:rsidRDefault="00CB4EBF" w:rsidP="00CB4EBF">
      <w:pPr>
        <w:spacing w:after="0"/>
        <w:jc w:val="both"/>
        <w:rPr>
          <w:rFonts w:eastAsia="Calibri" w:cs="Times New Roman"/>
          <w:bCs/>
          <w:iCs/>
          <w:noProof/>
          <w:sz w:val="20"/>
          <w:szCs w:val="20"/>
        </w:rPr>
      </w:pPr>
      <w:r>
        <w:rPr>
          <w:rFonts w:cs="Times New Roman"/>
          <w:sz w:val="20"/>
          <w:szCs w:val="20"/>
          <w:lang w:val="hr"/>
        </w:rPr>
        <w:t>Ovaj dodatak nije potreban kada se upotrebljavaju pojednostavnjene mogućnosti obračuna troškova na razini EU-a uspostavljene delegiranim aktom iz članka 94. stavka 4. Uredbe o zajedničkim odredbama.</w:t>
      </w:r>
    </w:p>
    <w:p w14:paraId="4075306B" w14:textId="77777777" w:rsidR="00CB4EBF" w:rsidRPr="001C431F" w:rsidRDefault="00CB4EBF" w:rsidP="00CB4EBF">
      <w:pPr>
        <w:spacing w:after="0"/>
        <w:jc w:val="both"/>
        <w:rPr>
          <w:rFonts w:cs="Times New Roman"/>
          <w:noProof/>
          <w:sz w:val="20"/>
          <w:szCs w:val="20"/>
        </w:rPr>
      </w:pPr>
    </w:p>
    <w:p w14:paraId="6ACF3CD4" w14:textId="77777777" w:rsidR="00CB4EBF" w:rsidRPr="001C431F" w:rsidRDefault="00CB4EBF" w:rsidP="00CB4EBF">
      <w:pPr>
        <w:spacing w:after="0" w:line="240" w:lineRule="auto"/>
        <w:jc w:val="both"/>
        <w:rPr>
          <w:rFonts w:cs="Times New Roman"/>
          <w:noProof/>
          <w:sz w:val="20"/>
          <w:szCs w:val="20"/>
        </w:rPr>
        <w:sectPr w:rsidR="00CB4EBF" w:rsidRPr="001C431F">
          <w:headerReference w:type="even" r:id="rId20"/>
          <w:headerReference w:type="default" r:id="rId21"/>
          <w:footerReference w:type="even" r:id="rId22"/>
          <w:footerReference w:type="default" r:id="rId23"/>
          <w:headerReference w:type="first" r:id="rId24"/>
          <w:footerReference w:type="first" r:id="rId25"/>
          <w:pgSz w:w="11906" w:h="16838" w:code="9"/>
          <w:pgMar w:top="567" w:right="1134" w:bottom="567" w:left="1134" w:header="709" w:footer="709" w:gutter="0"/>
          <w:cols w:space="708"/>
          <w:titlePg/>
          <w:docGrid w:linePitch="360"/>
        </w:sectPr>
      </w:pPr>
    </w:p>
    <w:p w14:paraId="2B5D878E" w14:textId="77777777" w:rsidR="00CB4EBF" w:rsidRPr="001C431F" w:rsidRDefault="00CB4EBF" w:rsidP="00CB4EBF">
      <w:pPr>
        <w:spacing w:after="0"/>
        <w:jc w:val="both"/>
        <w:rPr>
          <w:rFonts w:cs="Times New Roman"/>
          <w:b/>
          <w:noProof/>
          <w:sz w:val="20"/>
          <w:szCs w:val="20"/>
        </w:rPr>
      </w:pPr>
      <w:r>
        <w:rPr>
          <w:rFonts w:cs="Times New Roman"/>
          <w:b/>
          <w:bCs/>
          <w:noProof/>
          <w:sz w:val="20"/>
          <w:szCs w:val="20"/>
          <w:lang w:val="hr"/>
        </w:rPr>
        <w:lastRenderedPageBreak/>
        <w:t>A.</w:t>
      </w:r>
      <w:r>
        <w:rPr>
          <w:rFonts w:cs="Times New Roman"/>
          <w:b/>
          <w:bCs/>
          <w:noProof/>
          <w:sz w:val="20"/>
          <w:szCs w:val="20"/>
          <w:lang w:val="hr"/>
        </w:rPr>
        <w:tab/>
        <w:t xml:space="preserve">Sažetak glavnih elemenata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47"/>
        <w:gridCol w:w="1468"/>
        <w:gridCol w:w="1728"/>
        <w:gridCol w:w="1025"/>
        <w:gridCol w:w="1528"/>
        <w:gridCol w:w="1025"/>
        <w:gridCol w:w="1581"/>
        <w:gridCol w:w="1810"/>
        <w:gridCol w:w="1717"/>
        <w:gridCol w:w="1880"/>
      </w:tblGrid>
      <w:tr w:rsidR="00CB4EBF" w:rsidRPr="00A23750" w14:paraId="2864F088" w14:textId="77777777" w:rsidTr="0054762C">
        <w:tc>
          <w:tcPr>
            <w:tcW w:w="375" w:type="pct"/>
          </w:tcPr>
          <w:p w14:paraId="3E2613D9" w14:textId="77777777" w:rsidR="00CB4EBF" w:rsidRPr="001C431F" w:rsidRDefault="00CB4EBF" w:rsidP="0054762C">
            <w:pPr>
              <w:spacing w:after="0"/>
              <w:jc w:val="both"/>
              <w:rPr>
                <w:rFonts w:cs="Times New Roman"/>
                <w:b/>
                <w:noProof/>
                <w:sz w:val="20"/>
                <w:szCs w:val="20"/>
              </w:rPr>
            </w:pPr>
            <w:r>
              <w:rPr>
                <w:rFonts w:cs="Times New Roman"/>
                <w:b/>
                <w:bCs/>
                <w:noProof/>
                <w:sz w:val="20"/>
                <w:szCs w:val="20"/>
                <w:lang w:val="hr"/>
              </w:rPr>
              <w:t xml:space="preserve">Prioritet </w:t>
            </w:r>
          </w:p>
        </w:tc>
        <w:tc>
          <w:tcPr>
            <w:tcW w:w="299" w:type="pct"/>
          </w:tcPr>
          <w:p w14:paraId="55D44DB0" w14:textId="77777777" w:rsidR="00CB4EBF" w:rsidRPr="001C431F" w:rsidRDefault="00CB4EBF" w:rsidP="0054762C">
            <w:pPr>
              <w:spacing w:after="0"/>
              <w:jc w:val="both"/>
              <w:rPr>
                <w:rFonts w:cs="Times New Roman"/>
                <w:b/>
                <w:noProof/>
                <w:sz w:val="20"/>
                <w:szCs w:val="20"/>
              </w:rPr>
            </w:pPr>
            <w:r>
              <w:rPr>
                <w:rFonts w:cs="Times New Roman"/>
                <w:b/>
                <w:bCs/>
                <w:noProof/>
                <w:sz w:val="20"/>
                <w:szCs w:val="20"/>
                <w:lang w:val="hr"/>
              </w:rPr>
              <w:t>Fond</w:t>
            </w:r>
          </w:p>
          <w:p w14:paraId="4CB53B51" w14:textId="77777777" w:rsidR="00CB4EBF" w:rsidRPr="001C431F" w:rsidRDefault="00CB4EBF" w:rsidP="0054762C">
            <w:pPr>
              <w:spacing w:after="0"/>
              <w:jc w:val="both"/>
              <w:rPr>
                <w:rFonts w:cs="Times New Roman"/>
                <w:b/>
                <w:noProof/>
                <w:sz w:val="20"/>
                <w:szCs w:val="20"/>
              </w:rPr>
            </w:pPr>
          </w:p>
        </w:tc>
        <w:tc>
          <w:tcPr>
            <w:tcW w:w="497" w:type="pct"/>
          </w:tcPr>
          <w:p w14:paraId="5FB17F38" w14:textId="77777777" w:rsidR="00CB4EBF" w:rsidRPr="001C431F" w:rsidRDefault="00CB4EBF" w:rsidP="0054762C">
            <w:pPr>
              <w:spacing w:after="0"/>
              <w:jc w:val="both"/>
              <w:rPr>
                <w:rFonts w:cs="Times New Roman"/>
                <w:b/>
                <w:noProof/>
                <w:sz w:val="20"/>
                <w:szCs w:val="20"/>
              </w:rPr>
            </w:pPr>
            <w:r>
              <w:rPr>
                <w:rFonts w:cs="Times New Roman"/>
                <w:b/>
                <w:bCs/>
                <w:noProof/>
                <w:sz w:val="20"/>
                <w:szCs w:val="20"/>
                <w:lang w:val="hr"/>
              </w:rPr>
              <w:t>Specifični cilj</w:t>
            </w:r>
          </w:p>
        </w:tc>
        <w:tc>
          <w:tcPr>
            <w:tcW w:w="497" w:type="pct"/>
          </w:tcPr>
          <w:p w14:paraId="376A7DA8" w14:textId="77777777" w:rsidR="00CB4EBF" w:rsidRPr="001C431F" w:rsidRDefault="00CB4EBF" w:rsidP="0054762C">
            <w:pPr>
              <w:spacing w:after="0"/>
              <w:jc w:val="both"/>
              <w:rPr>
                <w:rFonts w:cs="Times New Roman"/>
                <w:b/>
                <w:noProof/>
                <w:sz w:val="20"/>
                <w:szCs w:val="20"/>
              </w:rPr>
            </w:pPr>
            <w:r>
              <w:rPr>
                <w:rFonts w:cs="Times New Roman"/>
                <w:b/>
                <w:bCs/>
                <w:noProof/>
                <w:sz w:val="20"/>
                <w:szCs w:val="20"/>
                <w:lang w:val="hr"/>
              </w:rPr>
              <w:t>Procijenjeni udio ukupnih dodijeljenih financijskih sredstava u okviru prioriteta na koji će se primijeniti pojednostavnjena mogućnost obračuna troškova, u %</w:t>
            </w:r>
          </w:p>
        </w:tc>
        <w:tc>
          <w:tcPr>
            <w:tcW w:w="814" w:type="pct"/>
            <w:gridSpan w:val="2"/>
            <w:shd w:val="clear" w:color="auto" w:fill="auto"/>
          </w:tcPr>
          <w:p w14:paraId="0B63689B" w14:textId="77777777" w:rsidR="00CB4EBF" w:rsidRPr="001C431F" w:rsidRDefault="00CB4EBF" w:rsidP="0054762C">
            <w:pPr>
              <w:spacing w:after="0"/>
              <w:jc w:val="both"/>
              <w:rPr>
                <w:rFonts w:cs="Times New Roman"/>
                <w:b/>
                <w:noProof/>
                <w:sz w:val="20"/>
                <w:szCs w:val="20"/>
              </w:rPr>
            </w:pPr>
            <w:r>
              <w:rPr>
                <w:rFonts w:cs="Times New Roman"/>
                <w:b/>
                <w:bCs/>
                <w:noProof/>
                <w:sz w:val="20"/>
                <w:szCs w:val="20"/>
                <w:lang w:val="hr"/>
              </w:rPr>
              <w:t>Obuhvaćena vrsta operacije / obuhvaćene vrste operacija</w:t>
            </w:r>
          </w:p>
        </w:tc>
        <w:tc>
          <w:tcPr>
            <w:tcW w:w="831" w:type="pct"/>
            <w:gridSpan w:val="2"/>
            <w:shd w:val="clear" w:color="auto" w:fill="auto"/>
          </w:tcPr>
          <w:p w14:paraId="7FB0BC39" w14:textId="77777777" w:rsidR="00CB4EBF" w:rsidRPr="001C431F" w:rsidRDefault="00CB4EBF" w:rsidP="0054762C">
            <w:pPr>
              <w:spacing w:after="0"/>
              <w:jc w:val="both"/>
              <w:rPr>
                <w:rFonts w:cs="Times New Roman"/>
                <w:b/>
                <w:noProof/>
                <w:sz w:val="20"/>
                <w:szCs w:val="20"/>
              </w:rPr>
            </w:pPr>
            <w:r>
              <w:rPr>
                <w:rFonts w:cs="Times New Roman"/>
                <w:b/>
                <w:bCs/>
                <w:noProof/>
                <w:sz w:val="20"/>
                <w:szCs w:val="20"/>
                <w:lang w:val="hr"/>
              </w:rPr>
              <w:t>Pokazatelj na temelju kojeg se pokreće nadoknada</w:t>
            </w:r>
          </w:p>
        </w:tc>
        <w:tc>
          <w:tcPr>
            <w:tcW w:w="606" w:type="pct"/>
            <w:shd w:val="clear" w:color="auto" w:fill="auto"/>
          </w:tcPr>
          <w:p w14:paraId="3A31E692" w14:textId="77777777" w:rsidR="00CB4EBF" w:rsidRPr="001C431F" w:rsidRDefault="00CB4EBF" w:rsidP="0054762C">
            <w:pPr>
              <w:spacing w:after="0"/>
              <w:jc w:val="both"/>
              <w:rPr>
                <w:rFonts w:cs="Times New Roman"/>
                <w:b/>
                <w:noProof/>
                <w:sz w:val="20"/>
                <w:szCs w:val="20"/>
              </w:rPr>
            </w:pPr>
            <w:r>
              <w:rPr>
                <w:rFonts w:cs="Times New Roman"/>
                <w:b/>
                <w:bCs/>
                <w:noProof/>
                <w:sz w:val="20"/>
                <w:szCs w:val="20"/>
                <w:lang w:val="hr"/>
              </w:rPr>
              <w:t>Mjerna jedinica za pokazatelj na temelju kojeg se pokreće nadoknada</w:t>
            </w:r>
          </w:p>
        </w:tc>
        <w:tc>
          <w:tcPr>
            <w:tcW w:w="453" w:type="pct"/>
          </w:tcPr>
          <w:p w14:paraId="27673F4A" w14:textId="77777777" w:rsidR="00CB4EBF" w:rsidRPr="001C431F" w:rsidRDefault="00CB4EBF" w:rsidP="0054762C">
            <w:pPr>
              <w:spacing w:after="0"/>
              <w:jc w:val="both"/>
              <w:rPr>
                <w:rFonts w:cs="Times New Roman"/>
                <w:b/>
                <w:noProof/>
                <w:sz w:val="20"/>
                <w:szCs w:val="20"/>
              </w:rPr>
            </w:pPr>
            <w:r>
              <w:rPr>
                <w:rFonts w:cs="Times New Roman"/>
                <w:b/>
                <w:bCs/>
                <w:noProof/>
                <w:sz w:val="20"/>
                <w:szCs w:val="20"/>
                <w:lang w:val="hr"/>
              </w:rPr>
              <w:t>Vrsta pojednostavnjene mogućnosti obračuna troškova (standardni raspon jediničnih troškova, jednokratnih iznosa ili paušalnih stopa)</w:t>
            </w:r>
          </w:p>
        </w:tc>
        <w:tc>
          <w:tcPr>
            <w:tcW w:w="628" w:type="pct"/>
            <w:shd w:val="clear" w:color="auto" w:fill="auto"/>
          </w:tcPr>
          <w:p w14:paraId="3EF3C1F7" w14:textId="77777777" w:rsidR="00CB4EBF" w:rsidRPr="001C431F" w:rsidRDefault="00CB4EBF" w:rsidP="0054762C">
            <w:pPr>
              <w:spacing w:after="0"/>
              <w:jc w:val="both"/>
              <w:rPr>
                <w:rFonts w:cs="Times New Roman"/>
                <w:b/>
                <w:noProof/>
                <w:sz w:val="20"/>
                <w:szCs w:val="20"/>
              </w:rPr>
            </w:pPr>
            <w:r>
              <w:rPr>
                <w:rFonts w:cs="Times New Roman"/>
                <w:b/>
                <w:bCs/>
                <w:noProof/>
                <w:sz w:val="20"/>
                <w:szCs w:val="20"/>
                <w:lang w:val="hr"/>
              </w:rPr>
              <w:t>Iznos (u EUR) ili postotak (u slučaju paušalnih stopa) pojednostavnjene mogućnosti obračuna troškova</w:t>
            </w:r>
          </w:p>
        </w:tc>
      </w:tr>
      <w:tr w:rsidR="00CB4EBF" w:rsidRPr="00A23750" w14:paraId="06466BAC" w14:textId="77777777" w:rsidTr="0054762C">
        <w:tc>
          <w:tcPr>
            <w:tcW w:w="375" w:type="pct"/>
          </w:tcPr>
          <w:p w14:paraId="436C560A" w14:textId="77777777" w:rsidR="00CB4EBF" w:rsidRPr="001C431F" w:rsidRDefault="00CB4EBF" w:rsidP="0054762C">
            <w:pPr>
              <w:spacing w:after="0"/>
              <w:jc w:val="both"/>
              <w:rPr>
                <w:rFonts w:cs="Times New Roman"/>
                <w:noProof/>
                <w:color w:val="7F7F7F"/>
                <w:sz w:val="20"/>
                <w:szCs w:val="20"/>
              </w:rPr>
            </w:pPr>
          </w:p>
        </w:tc>
        <w:tc>
          <w:tcPr>
            <w:tcW w:w="299" w:type="pct"/>
          </w:tcPr>
          <w:p w14:paraId="2E2DA629" w14:textId="77777777" w:rsidR="00CB4EBF" w:rsidRPr="001C431F" w:rsidRDefault="00CB4EBF" w:rsidP="0054762C">
            <w:pPr>
              <w:spacing w:after="0"/>
              <w:jc w:val="both"/>
              <w:rPr>
                <w:rFonts w:cs="Times New Roman"/>
                <w:noProof/>
                <w:color w:val="7F7F7F"/>
                <w:sz w:val="20"/>
                <w:szCs w:val="20"/>
              </w:rPr>
            </w:pPr>
          </w:p>
        </w:tc>
        <w:tc>
          <w:tcPr>
            <w:tcW w:w="497" w:type="pct"/>
          </w:tcPr>
          <w:p w14:paraId="284C3548" w14:textId="77777777" w:rsidR="00CB4EBF" w:rsidRPr="001C431F" w:rsidRDefault="00CB4EBF" w:rsidP="0054762C">
            <w:pPr>
              <w:spacing w:after="0"/>
              <w:jc w:val="both"/>
              <w:rPr>
                <w:rFonts w:cs="Times New Roman"/>
                <w:noProof/>
                <w:color w:val="7F7F7F"/>
                <w:sz w:val="20"/>
                <w:szCs w:val="20"/>
              </w:rPr>
            </w:pPr>
          </w:p>
        </w:tc>
        <w:tc>
          <w:tcPr>
            <w:tcW w:w="497" w:type="pct"/>
          </w:tcPr>
          <w:p w14:paraId="0EA4E273" w14:textId="77777777" w:rsidR="00CB4EBF" w:rsidRPr="001C431F" w:rsidRDefault="00CB4EBF" w:rsidP="0054762C">
            <w:pPr>
              <w:spacing w:after="0"/>
              <w:jc w:val="both"/>
              <w:rPr>
                <w:rFonts w:cs="Times New Roman"/>
                <w:noProof/>
                <w:color w:val="7F7F7F"/>
                <w:sz w:val="20"/>
                <w:szCs w:val="20"/>
              </w:rPr>
            </w:pPr>
          </w:p>
        </w:tc>
        <w:tc>
          <w:tcPr>
            <w:tcW w:w="298" w:type="pct"/>
            <w:shd w:val="clear" w:color="auto" w:fill="auto"/>
          </w:tcPr>
          <w:p w14:paraId="669020B4" w14:textId="77777777" w:rsidR="00CB4EBF" w:rsidRPr="001C431F" w:rsidRDefault="00CB4EBF" w:rsidP="0054762C">
            <w:pPr>
              <w:spacing w:after="0"/>
              <w:jc w:val="both"/>
              <w:rPr>
                <w:rFonts w:cs="Times New Roman"/>
                <w:noProof/>
                <w:sz w:val="20"/>
                <w:szCs w:val="20"/>
              </w:rPr>
            </w:pPr>
            <w:r>
              <w:rPr>
                <w:rFonts w:cs="Times New Roman"/>
                <w:noProof/>
                <w:sz w:val="20"/>
                <w:szCs w:val="20"/>
                <w:lang w:val="hr"/>
              </w:rPr>
              <w:t>Oznaka</w:t>
            </w:r>
            <w:r>
              <w:rPr>
                <w:rStyle w:val="FootnoteReference"/>
                <w:rFonts w:cs="Times New Roman"/>
                <w:noProof/>
                <w:sz w:val="20"/>
                <w:szCs w:val="20"/>
                <w:lang w:val="hr"/>
              </w:rPr>
              <w:footnoteReference w:customMarkFollows="1" w:id="8"/>
              <w:t>1</w:t>
            </w:r>
            <w:r>
              <w:rPr>
                <w:rStyle w:val="FootnoteReference"/>
                <w:rFonts w:cs="Times New Roman"/>
                <w:noProof/>
                <w:sz w:val="20"/>
                <w:szCs w:val="20"/>
                <w:vertAlign w:val="baseline"/>
                <w:lang w:val="hr"/>
              </w:rPr>
              <w:sym w:font="Symbol" w:char="F028"/>
            </w:r>
            <w:r>
              <w:rPr>
                <w:rStyle w:val="FootnoteReference"/>
                <w:rFonts w:cs="Times New Roman"/>
                <w:noProof/>
                <w:sz w:val="20"/>
                <w:szCs w:val="20"/>
                <w:vertAlign w:val="baseline"/>
                <w:lang w:val="hr"/>
              </w:rPr>
              <w:sym w:font="Symbol" w:char="F029"/>
            </w:r>
          </w:p>
        </w:tc>
        <w:tc>
          <w:tcPr>
            <w:tcW w:w="516" w:type="pct"/>
          </w:tcPr>
          <w:p w14:paraId="42438BCE" w14:textId="77777777" w:rsidR="00CB4EBF" w:rsidRPr="001C431F" w:rsidRDefault="00CB4EBF" w:rsidP="0054762C">
            <w:pPr>
              <w:spacing w:after="0"/>
              <w:jc w:val="both"/>
              <w:rPr>
                <w:rFonts w:cs="Times New Roman"/>
                <w:noProof/>
                <w:sz w:val="20"/>
                <w:szCs w:val="20"/>
              </w:rPr>
            </w:pPr>
            <w:r>
              <w:rPr>
                <w:rFonts w:cs="Times New Roman"/>
                <w:noProof/>
                <w:sz w:val="20"/>
                <w:szCs w:val="20"/>
                <w:lang w:val="hr"/>
              </w:rPr>
              <w:t>Opis</w:t>
            </w:r>
          </w:p>
        </w:tc>
        <w:tc>
          <w:tcPr>
            <w:tcW w:w="298" w:type="pct"/>
            <w:shd w:val="clear" w:color="auto" w:fill="auto"/>
          </w:tcPr>
          <w:p w14:paraId="345745B0" w14:textId="77777777" w:rsidR="00CB4EBF" w:rsidRPr="001C431F" w:rsidRDefault="00CB4EBF" w:rsidP="0054762C">
            <w:pPr>
              <w:spacing w:after="0"/>
              <w:jc w:val="both"/>
              <w:rPr>
                <w:rFonts w:cs="Times New Roman"/>
                <w:noProof/>
                <w:sz w:val="20"/>
                <w:szCs w:val="20"/>
              </w:rPr>
            </w:pPr>
            <w:r>
              <w:rPr>
                <w:rFonts w:cs="Times New Roman"/>
                <w:noProof/>
                <w:sz w:val="20"/>
                <w:szCs w:val="20"/>
                <w:lang w:val="hr"/>
              </w:rPr>
              <w:t>Oznaka</w:t>
            </w:r>
            <w:r>
              <w:rPr>
                <w:rStyle w:val="FootnoteReference"/>
                <w:rFonts w:cs="Times New Roman"/>
                <w:noProof/>
                <w:sz w:val="20"/>
                <w:szCs w:val="20"/>
                <w:lang w:val="hr"/>
              </w:rPr>
              <w:footnoteReference w:customMarkFollows="1" w:id="9"/>
              <w:t>2</w:t>
            </w:r>
            <w:r>
              <w:rPr>
                <w:rStyle w:val="FootnoteReference"/>
                <w:rFonts w:cs="Times New Roman"/>
                <w:noProof/>
                <w:sz w:val="20"/>
                <w:szCs w:val="20"/>
                <w:vertAlign w:val="baseline"/>
                <w:lang w:val="hr"/>
              </w:rPr>
              <w:sym w:font="Symbol" w:char="F028"/>
            </w:r>
            <w:r>
              <w:rPr>
                <w:rStyle w:val="FootnoteReference"/>
                <w:rFonts w:cs="Times New Roman"/>
                <w:noProof/>
                <w:sz w:val="20"/>
                <w:szCs w:val="20"/>
                <w:vertAlign w:val="baseline"/>
                <w:lang w:val="hr"/>
              </w:rPr>
              <w:sym w:font="Symbol" w:char="F029"/>
            </w:r>
            <w:r>
              <w:rPr>
                <w:rFonts w:cs="Times New Roman"/>
                <w:noProof/>
                <w:sz w:val="20"/>
                <w:szCs w:val="20"/>
                <w:lang w:val="hr"/>
              </w:rPr>
              <w:t xml:space="preserve"> </w:t>
            </w:r>
          </w:p>
        </w:tc>
        <w:tc>
          <w:tcPr>
            <w:tcW w:w="533" w:type="pct"/>
          </w:tcPr>
          <w:p w14:paraId="13194157" w14:textId="77777777" w:rsidR="00CB4EBF" w:rsidRPr="001C431F" w:rsidRDefault="00CB4EBF" w:rsidP="0054762C">
            <w:pPr>
              <w:spacing w:after="0"/>
              <w:jc w:val="both"/>
              <w:rPr>
                <w:rFonts w:cs="Times New Roman"/>
                <w:noProof/>
                <w:sz w:val="20"/>
                <w:szCs w:val="20"/>
              </w:rPr>
            </w:pPr>
            <w:r>
              <w:rPr>
                <w:rFonts w:cs="Times New Roman"/>
                <w:noProof/>
                <w:sz w:val="20"/>
                <w:szCs w:val="20"/>
                <w:lang w:val="hr"/>
              </w:rPr>
              <w:t>Opis</w:t>
            </w:r>
          </w:p>
        </w:tc>
        <w:tc>
          <w:tcPr>
            <w:tcW w:w="606" w:type="pct"/>
            <w:shd w:val="clear" w:color="auto" w:fill="auto"/>
          </w:tcPr>
          <w:p w14:paraId="4AEC5642" w14:textId="77777777" w:rsidR="00CB4EBF" w:rsidRPr="001C431F" w:rsidRDefault="00CB4EBF" w:rsidP="0054762C">
            <w:pPr>
              <w:spacing w:after="0"/>
              <w:jc w:val="both"/>
              <w:rPr>
                <w:rFonts w:cs="Times New Roman"/>
                <w:noProof/>
                <w:sz w:val="20"/>
                <w:szCs w:val="20"/>
              </w:rPr>
            </w:pPr>
          </w:p>
        </w:tc>
        <w:tc>
          <w:tcPr>
            <w:tcW w:w="453" w:type="pct"/>
          </w:tcPr>
          <w:p w14:paraId="67B60FE5" w14:textId="77777777" w:rsidR="00CB4EBF" w:rsidRPr="001C431F" w:rsidRDefault="00CB4EBF" w:rsidP="0054762C">
            <w:pPr>
              <w:spacing w:after="0"/>
              <w:jc w:val="both"/>
              <w:rPr>
                <w:rFonts w:cs="Times New Roman"/>
                <w:noProof/>
                <w:sz w:val="20"/>
                <w:szCs w:val="20"/>
              </w:rPr>
            </w:pPr>
          </w:p>
        </w:tc>
        <w:tc>
          <w:tcPr>
            <w:tcW w:w="628" w:type="pct"/>
            <w:shd w:val="clear" w:color="auto" w:fill="auto"/>
          </w:tcPr>
          <w:p w14:paraId="4E8CAFF0" w14:textId="77777777" w:rsidR="00CB4EBF" w:rsidRPr="001C431F" w:rsidRDefault="00CB4EBF" w:rsidP="0054762C">
            <w:pPr>
              <w:spacing w:after="0"/>
              <w:jc w:val="both"/>
              <w:rPr>
                <w:rFonts w:cs="Times New Roman"/>
                <w:noProof/>
                <w:sz w:val="20"/>
                <w:szCs w:val="20"/>
              </w:rPr>
            </w:pPr>
          </w:p>
        </w:tc>
      </w:tr>
      <w:tr w:rsidR="00CB4EBF" w:rsidRPr="00A23750" w14:paraId="2268DADC" w14:textId="77777777" w:rsidTr="0054762C">
        <w:tc>
          <w:tcPr>
            <w:tcW w:w="375" w:type="pct"/>
          </w:tcPr>
          <w:p w14:paraId="569D6506" w14:textId="77777777" w:rsidR="00CB4EBF" w:rsidRPr="001C431F" w:rsidRDefault="00CB4EBF" w:rsidP="0054762C">
            <w:pPr>
              <w:spacing w:after="0"/>
              <w:jc w:val="both"/>
              <w:rPr>
                <w:rFonts w:cs="Times New Roman"/>
                <w:b/>
                <w:i/>
                <w:noProof/>
                <w:color w:val="7F7F7F"/>
                <w:sz w:val="20"/>
                <w:szCs w:val="20"/>
              </w:rPr>
            </w:pPr>
          </w:p>
        </w:tc>
        <w:tc>
          <w:tcPr>
            <w:tcW w:w="299" w:type="pct"/>
          </w:tcPr>
          <w:p w14:paraId="6F397237" w14:textId="77777777" w:rsidR="00CB4EBF" w:rsidRPr="001C431F" w:rsidRDefault="00CB4EBF" w:rsidP="0054762C">
            <w:pPr>
              <w:spacing w:after="0"/>
              <w:jc w:val="both"/>
              <w:rPr>
                <w:rFonts w:cs="Times New Roman"/>
                <w:b/>
                <w:i/>
                <w:noProof/>
                <w:color w:val="7F7F7F"/>
                <w:sz w:val="20"/>
                <w:szCs w:val="20"/>
              </w:rPr>
            </w:pPr>
          </w:p>
        </w:tc>
        <w:tc>
          <w:tcPr>
            <w:tcW w:w="497" w:type="pct"/>
          </w:tcPr>
          <w:p w14:paraId="09DF9C6C" w14:textId="77777777" w:rsidR="00CB4EBF" w:rsidRPr="001C431F" w:rsidRDefault="00CB4EBF" w:rsidP="0054762C">
            <w:pPr>
              <w:spacing w:after="0"/>
              <w:jc w:val="both"/>
              <w:rPr>
                <w:rFonts w:cs="Times New Roman"/>
                <w:b/>
                <w:i/>
                <w:noProof/>
                <w:color w:val="7F7F7F"/>
                <w:sz w:val="20"/>
                <w:szCs w:val="20"/>
              </w:rPr>
            </w:pPr>
          </w:p>
        </w:tc>
        <w:tc>
          <w:tcPr>
            <w:tcW w:w="497" w:type="pct"/>
          </w:tcPr>
          <w:p w14:paraId="62809933" w14:textId="77777777" w:rsidR="00CB4EBF" w:rsidRPr="001C431F" w:rsidRDefault="00CB4EBF" w:rsidP="0054762C">
            <w:pPr>
              <w:spacing w:after="0"/>
              <w:jc w:val="both"/>
              <w:rPr>
                <w:rFonts w:cs="Times New Roman"/>
                <w:b/>
                <w:i/>
                <w:noProof/>
                <w:color w:val="7F7F7F"/>
                <w:sz w:val="20"/>
                <w:szCs w:val="20"/>
              </w:rPr>
            </w:pPr>
          </w:p>
        </w:tc>
        <w:tc>
          <w:tcPr>
            <w:tcW w:w="298" w:type="pct"/>
            <w:shd w:val="clear" w:color="auto" w:fill="auto"/>
          </w:tcPr>
          <w:p w14:paraId="7A821BAE" w14:textId="77777777" w:rsidR="00CB4EBF" w:rsidRPr="001C431F" w:rsidRDefault="00CB4EBF" w:rsidP="0054762C">
            <w:pPr>
              <w:spacing w:after="0"/>
              <w:jc w:val="both"/>
              <w:rPr>
                <w:rFonts w:cs="Times New Roman"/>
                <w:i/>
                <w:noProof/>
                <w:color w:val="7F7F7F"/>
                <w:sz w:val="20"/>
                <w:szCs w:val="20"/>
              </w:rPr>
            </w:pPr>
          </w:p>
        </w:tc>
        <w:tc>
          <w:tcPr>
            <w:tcW w:w="516" w:type="pct"/>
          </w:tcPr>
          <w:p w14:paraId="6C6CE076" w14:textId="77777777" w:rsidR="00CB4EBF" w:rsidRPr="001C431F" w:rsidRDefault="00CB4EBF" w:rsidP="0054762C">
            <w:pPr>
              <w:spacing w:after="0"/>
              <w:jc w:val="both"/>
              <w:rPr>
                <w:rFonts w:cs="Times New Roman"/>
                <w:i/>
                <w:noProof/>
                <w:color w:val="7F7F7F"/>
                <w:sz w:val="20"/>
                <w:szCs w:val="20"/>
              </w:rPr>
            </w:pPr>
          </w:p>
        </w:tc>
        <w:tc>
          <w:tcPr>
            <w:tcW w:w="298" w:type="pct"/>
            <w:shd w:val="clear" w:color="auto" w:fill="auto"/>
          </w:tcPr>
          <w:p w14:paraId="27EC119E" w14:textId="77777777" w:rsidR="00CB4EBF" w:rsidRPr="001C431F" w:rsidRDefault="00CB4EBF" w:rsidP="0054762C">
            <w:pPr>
              <w:spacing w:after="0"/>
              <w:jc w:val="both"/>
              <w:rPr>
                <w:rFonts w:cs="Times New Roman"/>
                <w:i/>
                <w:noProof/>
                <w:color w:val="7F7F7F"/>
                <w:sz w:val="20"/>
                <w:szCs w:val="20"/>
              </w:rPr>
            </w:pPr>
          </w:p>
        </w:tc>
        <w:tc>
          <w:tcPr>
            <w:tcW w:w="533" w:type="pct"/>
          </w:tcPr>
          <w:p w14:paraId="266CB2E4" w14:textId="77777777" w:rsidR="00CB4EBF" w:rsidRPr="001C431F" w:rsidRDefault="00CB4EBF" w:rsidP="0054762C">
            <w:pPr>
              <w:spacing w:after="0"/>
              <w:jc w:val="both"/>
              <w:rPr>
                <w:rFonts w:cs="Times New Roman"/>
                <w:i/>
                <w:noProof/>
                <w:color w:val="7F7F7F"/>
                <w:sz w:val="20"/>
                <w:szCs w:val="20"/>
              </w:rPr>
            </w:pPr>
          </w:p>
        </w:tc>
        <w:tc>
          <w:tcPr>
            <w:tcW w:w="606" w:type="pct"/>
            <w:shd w:val="clear" w:color="auto" w:fill="auto"/>
          </w:tcPr>
          <w:p w14:paraId="33179C29" w14:textId="77777777" w:rsidR="00CB4EBF" w:rsidRPr="001C431F" w:rsidRDefault="00CB4EBF" w:rsidP="0054762C">
            <w:pPr>
              <w:spacing w:after="0"/>
              <w:jc w:val="both"/>
              <w:rPr>
                <w:rFonts w:cs="Times New Roman"/>
                <w:i/>
                <w:noProof/>
                <w:color w:val="7F7F7F"/>
                <w:sz w:val="20"/>
                <w:szCs w:val="20"/>
              </w:rPr>
            </w:pPr>
          </w:p>
        </w:tc>
        <w:tc>
          <w:tcPr>
            <w:tcW w:w="453" w:type="pct"/>
          </w:tcPr>
          <w:p w14:paraId="2BCEA7BD" w14:textId="77777777" w:rsidR="00CB4EBF" w:rsidRPr="001C431F" w:rsidRDefault="00CB4EBF" w:rsidP="0054762C">
            <w:pPr>
              <w:spacing w:after="0"/>
              <w:jc w:val="both"/>
              <w:rPr>
                <w:rFonts w:cs="Times New Roman"/>
                <w:i/>
                <w:noProof/>
                <w:color w:val="7F7F7F"/>
                <w:sz w:val="20"/>
                <w:szCs w:val="20"/>
              </w:rPr>
            </w:pPr>
          </w:p>
        </w:tc>
        <w:tc>
          <w:tcPr>
            <w:tcW w:w="628" w:type="pct"/>
            <w:shd w:val="clear" w:color="auto" w:fill="auto"/>
          </w:tcPr>
          <w:p w14:paraId="3205C525" w14:textId="77777777" w:rsidR="00CB4EBF" w:rsidRPr="001C431F" w:rsidRDefault="00CB4EBF" w:rsidP="0054762C">
            <w:pPr>
              <w:spacing w:after="0"/>
              <w:jc w:val="both"/>
              <w:rPr>
                <w:rFonts w:cs="Times New Roman"/>
                <w:i/>
                <w:noProof/>
                <w:color w:val="7F7F7F"/>
                <w:sz w:val="20"/>
                <w:szCs w:val="20"/>
              </w:rPr>
            </w:pPr>
          </w:p>
        </w:tc>
      </w:tr>
      <w:tr w:rsidR="00CB4EBF" w:rsidRPr="00A23750" w14:paraId="08200738" w14:textId="77777777" w:rsidTr="0054762C">
        <w:tc>
          <w:tcPr>
            <w:tcW w:w="375" w:type="pct"/>
          </w:tcPr>
          <w:p w14:paraId="2BA0E92A" w14:textId="77777777" w:rsidR="00CB4EBF" w:rsidRPr="001C431F" w:rsidRDefault="00CB4EBF" w:rsidP="0054762C">
            <w:pPr>
              <w:spacing w:after="0"/>
              <w:jc w:val="both"/>
              <w:rPr>
                <w:rFonts w:cs="Times New Roman"/>
                <w:b/>
                <w:i/>
                <w:noProof/>
                <w:color w:val="7F7F7F"/>
                <w:sz w:val="20"/>
                <w:szCs w:val="20"/>
              </w:rPr>
            </w:pPr>
          </w:p>
        </w:tc>
        <w:tc>
          <w:tcPr>
            <w:tcW w:w="299" w:type="pct"/>
          </w:tcPr>
          <w:p w14:paraId="571DAF6C" w14:textId="77777777" w:rsidR="00CB4EBF" w:rsidRPr="001C431F" w:rsidRDefault="00CB4EBF" w:rsidP="0054762C">
            <w:pPr>
              <w:spacing w:after="0"/>
              <w:jc w:val="both"/>
              <w:rPr>
                <w:rFonts w:cs="Times New Roman"/>
                <w:b/>
                <w:i/>
                <w:noProof/>
                <w:color w:val="7F7F7F"/>
                <w:sz w:val="20"/>
                <w:szCs w:val="20"/>
              </w:rPr>
            </w:pPr>
          </w:p>
        </w:tc>
        <w:tc>
          <w:tcPr>
            <w:tcW w:w="497" w:type="pct"/>
          </w:tcPr>
          <w:p w14:paraId="28DFA0CC" w14:textId="77777777" w:rsidR="00CB4EBF" w:rsidRPr="001C431F" w:rsidRDefault="00CB4EBF" w:rsidP="0054762C">
            <w:pPr>
              <w:spacing w:after="0"/>
              <w:jc w:val="both"/>
              <w:rPr>
                <w:rFonts w:cs="Times New Roman"/>
                <w:b/>
                <w:i/>
                <w:noProof/>
                <w:color w:val="7F7F7F"/>
                <w:sz w:val="20"/>
                <w:szCs w:val="20"/>
              </w:rPr>
            </w:pPr>
          </w:p>
        </w:tc>
        <w:tc>
          <w:tcPr>
            <w:tcW w:w="497" w:type="pct"/>
          </w:tcPr>
          <w:p w14:paraId="26286E6E" w14:textId="77777777" w:rsidR="00CB4EBF" w:rsidRPr="001C431F" w:rsidRDefault="00CB4EBF" w:rsidP="0054762C">
            <w:pPr>
              <w:spacing w:after="0"/>
              <w:jc w:val="both"/>
              <w:rPr>
                <w:rFonts w:cs="Times New Roman"/>
                <w:b/>
                <w:i/>
                <w:noProof/>
                <w:color w:val="7F7F7F"/>
                <w:sz w:val="20"/>
                <w:szCs w:val="20"/>
              </w:rPr>
            </w:pPr>
          </w:p>
        </w:tc>
        <w:tc>
          <w:tcPr>
            <w:tcW w:w="298" w:type="pct"/>
            <w:shd w:val="clear" w:color="auto" w:fill="auto"/>
          </w:tcPr>
          <w:p w14:paraId="78212DE7" w14:textId="77777777" w:rsidR="00CB4EBF" w:rsidRPr="001C431F" w:rsidRDefault="00CB4EBF" w:rsidP="0054762C">
            <w:pPr>
              <w:spacing w:after="0"/>
              <w:jc w:val="both"/>
              <w:rPr>
                <w:rFonts w:cs="Times New Roman"/>
                <w:i/>
                <w:noProof/>
                <w:color w:val="7F7F7F"/>
                <w:sz w:val="20"/>
                <w:szCs w:val="20"/>
              </w:rPr>
            </w:pPr>
          </w:p>
        </w:tc>
        <w:tc>
          <w:tcPr>
            <w:tcW w:w="516" w:type="pct"/>
          </w:tcPr>
          <w:p w14:paraId="2BEADCBF" w14:textId="77777777" w:rsidR="00CB4EBF" w:rsidRPr="001C431F" w:rsidRDefault="00CB4EBF" w:rsidP="0054762C">
            <w:pPr>
              <w:spacing w:after="0"/>
              <w:jc w:val="both"/>
              <w:rPr>
                <w:rFonts w:cs="Times New Roman"/>
                <w:i/>
                <w:noProof/>
                <w:color w:val="7F7F7F"/>
                <w:sz w:val="20"/>
                <w:szCs w:val="20"/>
              </w:rPr>
            </w:pPr>
          </w:p>
        </w:tc>
        <w:tc>
          <w:tcPr>
            <w:tcW w:w="298" w:type="pct"/>
            <w:shd w:val="clear" w:color="auto" w:fill="auto"/>
          </w:tcPr>
          <w:p w14:paraId="6C235F87" w14:textId="77777777" w:rsidR="00CB4EBF" w:rsidRPr="001C431F" w:rsidRDefault="00CB4EBF" w:rsidP="0054762C">
            <w:pPr>
              <w:spacing w:after="0"/>
              <w:jc w:val="both"/>
              <w:rPr>
                <w:rFonts w:cs="Times New Roman"/>
                <w:i/>
                <w:noProof/>
                <w:color w:val="7F7F7F"/>
                <w:sz w:val="20"/>
                <w:szCs w:val="20"/>
              </w:rPr>
            </w:pPr>
          </w:p>
        </w:tc>
        <w:tc>
          <w:tcPr>
            <w:tcW w:w="533" w:type="pct"/>
          </w:tcPr>
          <w:p w14:paraId="2414BD93" w14:textId="77777777" w:rsidR="00CB4EBF" w:rsidRPr="001C431F" w:rsidRDefault="00CB4EBF" w:rsidP="0054762C">
            <w:pPr>
              <w:spacing w:after="0"/>
              <w:jc w:val="both"/>
              <w:rPr>
                <w:rFonts w:cs="Times New Roman"/>
                <w:i/>
                <w:noProof/>
                <w:color w:val="7F7F7F"/>
                <w:sz w:val="20"/>
                <w:szCs w:val="20"/>
              </w:rPr>
            </w:pPr>
          </w:p>
        </w:tc>
        <w:tc>
          <w:tcPr>
            <w:tcW w:w="606" w:type="pct"/>
            <w:shd w:val="clear" w:color="auto" w:fill="auto"/>
          </w:tcPr>
          <w:p w14:paraId="4AB969DF" w14:textId="77777777" w:rsidR="00CB4EBF" w:rsidRPr="001C431F" w:rsidRDefault="00CB4EBF" w:rsidP="0054762C">
            <w:pPr>
              <w:spacing w:after="0"/>
              <w:jc w:val="both"/>
              <w:rPr>
                <w:rFonts w:cs="Times New Roman"/>
                <w:i/>
                <w:noProof/>
                <w:color w:val="7F7F7F"/>
                <w:sz w:val="20"/>
                <w:szCs w:val="20"/>
              </w:rPr>
            </w:pPr>
          </w:p>
        </w:tc>
        <w:tc>
          <w:tcPr>
            <w:tcW w:w="453" w:type="pct"/>
          </w:tcPr>
          <w:p w14:paraId="461F7610" w14:textId="77777777" w:rsidR="00CB4EBF" w:rsidRPr="001C431F" w:rsidRDefault="00CB4EBF" w:rsidP="0054762C">
            <w:pPr>
              <w:spacing w:after="0"/>
              <w:jc w:val="both"/>
              <w:rPr>
                <w:rFonts w:cs="Times New Roman"/>
                <w:i/>
                <w:noProof/>
                <w:color w:val="7F7F7F"/>
                <w:sz w:val="20"/>
                <w:szCs w:val="20"/>
              </w:rPr>
            </w:pPr>
          </w:p>
        </w:tc>
        <w:tc>
          <w:tcPr>
            <w:tcW w:w="628" w:type="pct"/>
            <w:shd w:val="clear" w:color="auto" w:fill="auto"/>
          </w:tcPr>
          <w:p w14:paraId="40012CCA" w14:textId="77777777" w:rsidR="00CB4EBF" w:rsidRPr="001C431F" w:rsidRDefault="00CB4EBF" w:rsidP="0054762C">
            <w:pPr>
              <w:spacing w:after="0"/>
              <w:jc w:val="both"/>
              <w:rPr>
                <w:rFonts w:cs="Times New Roman"/>
                <w:i/>
                <w:noProof/>
                <w:color w:val="7F7F7F"/>
                <w:sz w:val="20"/>
                <w:szCs w:val="20"/>
              </w:rPr>
            </w:pPr>
          </w:p>
        </w:tc>
      </w:tr>
    </w:tbl>
    <w:p w14:paraId="4FC1ADE9" w14:textId="77777777" w:rsidR="00CB4EBF" w:rsidRPr="001C431F" w:rsidRDefault="00CB4EBF" w:rsidP="00CB4EBF">
      <w:pPr>
        <w:spacing w:after="0" w:line="240" w:lineRule="auto"/>
        <w:jc w:val="both"/>
        <w:rPr>
          <w:rFonts w:cs="Times New Roman"/>
          <w:noProof/>
          <w:sz w:val="20"/>
          <w:szCs w:val="20"/>
        </w:rPr>
        <w:sectPr w:rsidR="00CB4EBF" w:rsidRPr="001C431F">
          <w:headerReference w:type="even" r:id="rId26"/>
          <w:headerReference w:type="default" r:id="rId27"/>
          <w:footerReference w:type="even" r:id="rId28"/>
          <w:footerReference w:type="default" r:id="rId29"/>
          <w:headerReference w:type="first" r:id="rId30"/>
          <w:footerReference w:type="first" r:id="rId31"/>
          <w:pgSz w:w="16838" w:h="11906" w:orient="landscape" w:code="9"/>
          <w:pgMar w:top="1134" w:right="567" w:bottom="1134" w:left="567" w:header="709" w:footer="709" w:gutter="0"/>
          <w:cols w:space="708"/>
          <w:titlePg/>
          <w:docGrid w:linePitch="360"/>
        </w:sectPr>
      </w:pPr>
    </w:p>
    <w:p w14:paraId="543990D2" w14:textId="77777777" w:rsidR="00CB4EBF" w:rsidRPr="001C431F" w:rsidRDefault="00CB4EBF" w:rsidP="00CB4EBF">
      <w:pPr>
        <w:spacing w:after="0"/>
        <w:jc w:val="both"/>
        <w:rPr>
          <w:rFonts w:cs="Times New Roman"/>
          <w:b/>
          <w:noProof/>
          <w:sz w:val="20"/>
          <w:szCs w:val="20"/>
        </w:rPr>
      </w:pPr>
      <w:r>
        <w:rPr>
          <w:rFonts w:cs="Times New Roman"/>
          <w:b/>
          <w:bCs/>
          <w:noProof/>
          <w:sz w:val="20"/>
          <w:szCs w:val="20"/>
          <w:lang w:val="hr"/>
        </w:rPr>
        <w:lastRenderedPageBreak/>
        <w:t>B. Pojedinosti prema vrsti operacije (mora se popuniti za svaku vrstu operacije)</w:t>
      </w:r>
    </w:p>
    <w:p w14:paraId="3F75A593" w14:textId="77777777" w:rsidR="00CB4EBF" w:rsidRPr="001C431F" w:rsidRDefault="00CB4EBF" w:rsidP="00CB4EBF">
      <w:pPr>
        <w:spacing w:after="0"/>
        <w:jc w:val="both"/>
        <w:rPr>
          <w:rFonts w:cs="Times New Roman"/>
          <w:b/>
          <w:noProof/>
          <w:sz w:val="20"/>
          <w:szCs w:val="20"/>
        </w:rPr>
      </w:pPr>
      <w:r>
        <w:rPr>
          <w:rFonts w:cs="Times New Roman"/>
          <w:b/>
          <w:bCs/>
          <w:noProof/>
          <w:sz w:val="20"/>
          <w:szCs w:val="20"/>
          <w:lang w:val="hr"/>
        </w:rPr>
        <w:t xml:space="preserve">Je li upravljačko tijelo primilo potporu vanjskog poduzeća radi utvrđivanja pojednostavnjenih troškova navedenih u nastavku? </w:t>
      </w:r>
    </w:p>
    <w:p w14:paraId="1F5DD7B7" w14:textId="77777777" w:rsidR="00CB4EBF" w:rsidRPr="001C431F" w:rsidRDefault="00CB4EBF" w:rsidP="00CB4EBF">
      <w:pPr>
        <w:spacing w:after="0"/>
        <w:jc w:val="both"/>
        <w:rPr>
          <w:rFonts w:cs="Times New Roman"/>
          <w:b/>
          <w:noProof/>
          <w:sz w:val="20"/>
          <w:szCs w:val="20"/>
        </w:rPr>
      </w:pPr>
      <w:r>
        <w:rPr>
          <w:rFonts w:cs="Times New Roman"/>
          <w:b/>
          <w:bCs/>
          <w:noProof/>
          <w:sz w:val="20"/>
          <w:szCs w:val="20"/>
          <w:lang w:val="hr"/>
        </w:rPr>
        <w:t xml:space="preserve">Ako jest, navedite o kojem se vanjskom poduzeću radi: </w:t>
      </w:r>
      <w:r>
        <w:rPr>
          <w:rFonts w:cs="Times New Roman"/>
          <w:noProof/>
          <w:sz w:val="20"/>
          <w:szCs w:val="20"/>
          <w:lang w:val="hr"/>
        </w:rPr>
        <w:tab/>
      </w:r>
      <w:r>
        <w:rPr>
          <w:rFonts w:cs="Times New Roman"/>
          <w:b/>
          <w:bCs/>
          <w:noProof/>
          <w:sz w:val="20"/>
          <w:szCs w:val="20"/>
          <w:bdr w:val="single" w:sz="4" w:space="0" w:color="auto"/>
          <w:lang w:val="hr"/>
        </w:rPr>
        <w:t>Da/Ne – Naziv vanjskog poduzeća</w:t>
      </w:r>
    </w:p>
    <w:p w14:paraId="6E293CC1" w14:textId="77777777" w:rsidR="00CB4EBF" w:rsidRPr="001C431F" w:rsidRDefault="00CB4EBF" w:rsidP="00CB4EBF">
      <w:pPr>
        <w:spacing w:after="0"/>
        <w:jc w:val="both"/>
        <w:rPr>
          <w:rFonts w:cs="Times New Roman"/>
          <w:noProof/>
          <w:sz w:val="20"/>
          <w:szCs w:val="20"/>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7"/>
        <w:gridCol w:w="6379"/>
      </w:tblGrid>
      <w:tr w:rsidR="00CB4EBF" w:rsidRPr="00A23750" w14:paraId="16270EFF" w14:textId="77777777" w:rsidTr="0054762C">
        <w:trPr>
          <w:trHeight w:val="300"/>
        </w:trPr>
        <w:tc>
          <w:tcPr>
            <w:tcW w:w="3417" w:type="dxa"/>
            <w:shd w:val="clear" w:color="auto" w:fill="auto"/>
            <w:noWrap/>
            <w:vAlign w:val="center"/>
          </w:tcPr>
          <w:p w14:paraId="3F0C9793" w14:textId="77777777" w:rsidR="00CB4EBF" w:rsidRPr="001C431F" w:rsidRDefault="00CB4EBF" w:rsidP="0054762C">
            <w:pPr>
              <w:spacing w:after="0"/>
              <w:jc w:val="both"/>
              <w:rPr>
                <w:rFonts w:cs="Times New Roman"/>
                <w:bCs/>
                <w:noProof/>
                <w:sz w:val="20"/>
                <w:szCs w:val="20"/>
              </w:rPr>
            </w:pPr>
            <w:r>
              <w:rPr>
                <w:rFonts w:cs="Times New Roman"/>
                <w:noProof/>
                <w:sz w:val="20"/>
                <w:szCs w:val="20"/>
                <w:lang w:val="hr"/>
              </w:rPr>
              <w:t>1.1. Opis vrste operacije, uključujući kalendar provedbe</w:t>
            </w:r>
            <w:r>
              <w:rPr>
                <w:rStyle w:val="FootnoteReference"/>
                <w:rFonts w:cs="Times New Roman"/>
                <w:noProof/>
                <w:sz w:val="20"/>
                <w:szCs w:val="20"/>
                <w:lang w:val="hr"/>
              </w:rPr>
              <w:footnoteReference w:customMarkFollows="1" w:id="10"/>
              <w:t xml:space="preserve"> </w:t>
            </w:r>
            <w:r>
              <w:rPr>
                <w:rStyle w:val="FootnoteReference"/>
                <w:rFonts w:cs="Times New Roman"/>
                <w:noProof/>
                <w:sz w:val="20"/>
                <w:szCs w:val="20"/>
                <w:vertAlign w:val="baseline"/>
                <w:lang w:val="hr"/>
              </w:rPr>
              <w:sym w:font="Symbol" w:char="F028"/>
            </w:r>
            <w:r>
              <w:rPr>
                <w:rStyle w:val="FootnoteReference"/>
                <w:rFonts w:cs="Times New Roman"/>
                <w:noProof/>
                <w:sz w:val="20"/>
                <w:szCs w:val="20"/>
                <w:vertAlign w:val="baseline"/>
                <w:lang w:val="hr"/>
              </w:rPr>
              <w:sym w:font="Symbol" w:char="F031"/>
            </w:r>
            <w:r>
              <w:rPr>
                <w:rStyle w:val="FootnoteReference"/>
                <w:rFonts w:cs="Times New Roman"/>
                <w:noProof/>
                <w:sz w:val="20"/>
                <w:szCs w:val="20"/>
                <w:vertAlign w:val="baseline"/>
                <w:lang w:val="hr"/>
              </w:rPr>
              <w:sym w:font="Symbol" w:char="F029"/>
            </w:r>
          </w:p>
        </w:tc>
        <w:tc>
          <w:tcPr>
            <w:tcW w:w="6379" w:type="dxa"/>
            <w:vAlign w:val="center"/>
          </w:tcPr>
          <w:p w14:paraId="611FA5C3" w14:textId="77777777" w:rsidR="00CB4EBF" w:rsidRPr="001C431F" w:rsidRDefault="00CB4EBF" w:rsidP="0054762C">
            <w:pPr>
              <w:spacing w:after="0"/>
              <w:jc w:val="both"/>
              <w:rPr>
                <w:rFonts w:cs="Times New Roman"/>
                <w:noProof/>
                <w:sz w:val="20"/>
                <w:szCs w:val="20"/>
              </w:rPr>
            </w:pPr>
          </w:p>
        </w:tc>
      </w:tr>
      <w:tr w:rsidR="00CB4EBF" w:rsidRPr="00A23750" w14:paraId="68C39BF6" w14:textId="77777777" w:rsidTr="0054762C">
        <w:trPr>
          <w:trHeight w:val="300"/>
        </w:trPr>
        <w:tc>
          <w:tcPr>
            <w:tcW w:w="3417" w:type="dxa"/>
            <w:shd w:val="clear" w:color="auto" w:fill="auto"/>
            <w:noWrap/>
            <w:vAlign w:val="center"/>
          </w:tcPr>
          <w:p w14:paraId="7377085A" w14:textId="77777777" w:rsidR="00CB4EBF" w:rsidRPr="001C431F" w:rsidRDefault="00CB4EBF" w:rsidP="0054762C">
            <w:pPr>
              <w:spacing w:after="0"/>
              <w:jc w:val="both"/>
              <w:rPr>
                <w:rFonts w:cs="Times New Roman"/>
                <w:bCs/>
                <w:noProof/>
                <w:sz w:val="20"/>
                <w:szCs w:val="20"/>
              </w:rPr>
            </w:pPr>
            <w:r>
              <w:rPr>
                <w:rFonts w:cs="Times New Roman"/>
                <w:noProof/>
                <w:sz w:val="20"/>
                <w:szCs w:val="20"/>
                <w:lang w:val="hr"/>
              </w:rPr>
              <w:t>1.2. Specifični cilj</w:t>
            </w:r>
          </w:p>
        </w:tc>
        <w:tc>
          <w:tcPr>
            <w:tcW w:w="6379" w:type="dxa"/>
            <w:vAlign w:val="center"/>
          </w:tcPr>
          <w:p w14:paraId="38885BFB" w14:textId="77777777" w:rsidR="00CB4EBF" w:rsidRPr="001C431F" w:rsidRDefault="00CB4EBF" w:rsidP="0054762C">
            <w:pPr>
              <w:spacing w:after="0"/>
              <w:jc w:val="both"/>
              <w:rPr>
                <w:rFonts w:cs="Times New Roman"/>
                <w:noProof/>
                <w:sz w:val="20"/>
                <w:szCs w:val="20"/>
              </w:rPr>
            </w:pPr>
          </w:p>
          <w:p w14:paraId="623D8C9D" w14:textId="77777777" w:rsidR="00CB4EBF" w:rsidRPr="001C431F" w:rsidRDefault="00CB4EBF" w:rsidP="0054762C">
            <w:pPr>
              <w:spacing w:after="0"/>
              <w:jc w:val="both"/>
              <w:rPr>
                <w:rFonts w:cs="Times New Roman"/>
                <w:noProof/>
                <w:sz w:val="20"/>
                <w:szCs w:val="20"/>
              </w:rPr>
            </w:pPr>
          </w:p>
          <w:p w14:paraId="6E485A78" w14:textId="77777777" w:rsidR="00CB4EBF" w:rsidRPr="001C431F" w:rsidRDefault="00CB4EBF" w:rsidP="0054762C">
            <w:pPr>
              <w:spacing w:after="0"/>
              <w:jc w:val="both"/>
              <w:rPr>
                <w:rFonts w:cs="Times New Roman"/>
                <w:noProof/>
                <w:sz w:val="20"/>
                <w:szCs w:val="20"/>
              </w:rPr>
            </w:pPr>
          </w:p>
        </w:tc>
      </w:tr>
      <w:tr w:rsidR="00CB4EBF" w:rsidRPr="00A23750" w14:paraId="6E3EDA37" w14:textId="77777777" w:rsidTr="0054762C">
        <w:trPr>
          <w:trHeight w:val="300"/>
        </w:trPr>
        <w:tc>
          <w:tcPr>
            <w:tcW w:w="3417" w:type="dxa"/>
            <w:shd w:val="clear" w:color="auto" w:fill="auto"/>
            <w:noWrap/>
            <w:vAlign w:val="center"/>
          </w:tcPr>
          <w:p w14:paraId="33431BA3" w14:textId="77777777" w:rsidR="00CB4EBF" w:rsidRPr="001C431F" w:rsidRDefault="00CB4EBF" w:rsidP="0054762C">
            <w:pPr>
              <w:spacing w:after="0"/>
              <w:jc w:val="both"/>
              <w:rPr>
                <w:rFonts w:cs="Times New Roman"/>
                <w:bCs/>
                <w:noProof/>
                <w:sz w:val="20"/>
                <w:szCs w:val="20"/>
              </w:rPr>
            </w:pPr>
            <w:r>
              <w:rPr>
                <w:rFonts w:cs="Times New Roman"/>
                <w:noProof/>
                <w:sz w:val="20"/>
                <w:szCs w:val="20"/>
                <w:lang w:val="hr"/>
              </w:rPr>
              <w:t>1.3. Pokazatelj na temelju kojeg se pokreće nadoknada</w:t>
            </w:r>
            <w:r>
              <w:rPr>
                <w:rStyle w:val="FootnoteReference"/>
                <w:rFonts w:cs="Times New Roman"/>
                <w:noProof/>
                <w:sz w:val="20"/>
                <w:szCs w:val="20"/>
                <w:lang w:val="hr"/>
              </w:rPr>
              <w:footnoteReference w:customMarkFollows="1" w:id="11"/>
              <w:t xml:space="preserve"> </w:t>
            </w:r>
            <w:r>
              <w:rPr>
                <w:rStyle w:val="FootnoteReference"/>
                <w:rFonts w:cs="Times New Roman"/>
                <w:noProof/>
                <w:sz w:val="20"/>
                <w:szCs w:val="20"/>
                <w:vertAlign w:val="baseline"/>
                <w:lang w:val="hr"/>
              </w:rPr>
              <w:sym w:font="Symbol" w:char="F028"/>
            </w:r>
            <w:r>
              <w:rPr>
                <w:rStyle w:val="FootnoteReference"/>
                <w:rFonts w:cs="Times New Roman"/>
                <w:noProof/>
                <w:sz w:val="20"/>
                <w:szCs w:val="20"/>
                <w:vertAlign w:val="baseline"/>
                <w:lang w:val="hr"/>
              </w:rPr>
              <w:sym w:font="Symbol" w:char="F032"/>
            </w:r>
            <w:r>
              <w:rPr>
                <w:rStyle w:val="FootnoteReference"/>
                <w:rFonts w:cs="Times New Roman"/>
                <w:noProof/>
                <w:sz w:val="20"/>
                <w:szCs w:val="20"/>
                <w:vertAlign w:val="baseline"/>
                <w:lang w:val="hr"/>
              </w:rPr>
              <w:sym w:font="Symbol" w:char="F029"/>
            </w:r>
          </w:p>
        </w:tc>
        <w:tc>
          <w:tcPr>
            <w:tcW w:w="6379" w:type="dxa"/>
            <w:vAlign w:val="center"/>
          </w:tcPr>
          <w:p w14:paraId="30880BF1" w14:textId="77777777" w:rsidR="00CB4EBF" w:rsidRPr="001C431F" w:rsidRDefault="00CB4EBF" w:rsidP="0054762C">
            <w:pPr>
              <w:spacing w:after="0"/>
              <w:jc w:val="both"/>
              <w:rPr>
                <w:rFonts w:cs="Times New Roman"/>
                <w:noProof/>
                <w:sz w:val="20"/>
                <w:szCs w:val="20"/>
              </w:rPr>
            </w:pPr>
          </w:p>
        </w:tc>
      </w:tr>
      <w:tr w:rsidR="00CB4EBF" w:rsidRPr="00A23750" w14:paraId="1A421F22" w14:textId="77777777" w:rsidTr="0054762C">
        <w:trPr>
          <w:trHeight w:val="300"/>
        </w:trPr>
        <w:tc>
          <w:tcPr>
            <w:tcW w:w="3417" w:type="dxa"/>
            <w:shd w:val="clear" w:color="auto" w:fill="auto"/>
            <w:noWrap/>
            <w:vAlign w:val="center"/>
          </w:tcPr>
          <w:p w14:paraId="7C465CA0" w14:textId="77777777" w:rsidR="00CB4EBF" w:rsidRPr="001C431F" w:rsidRDefault="00CB4EBF" w:rsidP="0054762C">
            <w:pPr>
              <w:spacing w:after="0"/>
              <w:jc w:val="both"/>
              <w:rPr>
                <w:rFonts w:cs="Times New Roman"/>
                <w:bCs/>
                <w:noProof/>
                <w:sz w:val="20"/>
                <w:szCs w:val="20"/>
              </w:rPr>
            </w:pPr>
            <w:r>
              <w:rPr>
                <w:rFonts w:cs="Times New Roman"/>
                <w:noProof/>
                <w:sz w:val="20"/>
                <w:szCs w:val="20"/>
                <w:lang w:val="hr"/>
              </w:rPr>
              <w:t>1.4. Mjerna jedinica za pokazatelj na temelju kojeg se pokreće nadoknada</w:t>
            </w:r>
          </w:p>
        </w:tc>
        <w:tc>
          <w:tcPr>
            <w:tcW w:w="6379" w:type="dxa"/>
            <w:vAlign w:val="center"/>
          </w:tcPr>
          <w:p w14:paraId="325C4EA7" w14:textId="77777777" w:rsidR="00CB4EBF" w:rsidRPr="001C431F" w:rsidRDefault="00CB4EBF" w:rsidP="0054762C">
            <w:pPr>
              <w:spacing w:after="0"/>
              <w:jc w:val="both"/>
              <w:rPr>
                <w:rFonts w:cs="Times New Roman"/>
                <w:noProof/>
                <w:sz w:val="20"/>
                <w:szCs w:val="20"/>
              </w:rPr>
            </w:pPr>
          </w:p>
        </w:tc>
      </w:tr>
      <w:tr w:rsidR="00CB4EBF" w:rsidRPr="00A23750" w14:paraId="14321CF4" w14:textId="77777777" w:rsidTr="0054762C">
        <w:trPr>
          <w:trHeight w:val="300"/>
        </w:trPr>
        <w:tc>
          <w:tcPr>
            <w:tcW w:w="3417" w:type="dxa"/>
            <w:shd w:val="clear" w:color="auto" w:fill="auto"/>
            <w:noWrap/>
            <w:vAlign w:val="center"/>
          </w:tcPr>
          <w:p w14:paraId="75B1133F" w14:textId="77777777" w:rsidR="00CB4EBF" w:rsidRPr="001C431F" w:rsidRDefault="00CB4EBF" w:rsidP="0054762C">
            <w:pPr>
              <w:spacing w:after="0"/>
              <w:jc w:val="both"/>
              <w:rPr>
                <w:rFonts w:cs="Times New Roman"/>
                <w:bCs/>
                <w:noProof/>
                <w:sz w:val="20"/>
                <w:szCs w:val="20"/>
              </w:rPr>
            </w:pPr>
            <w:r>
              <w:rPr>
                <w:rFonts w:cs="Times New Roman"/>
                <w:noProof/>
                <w:sz w:val="20"/>
                <w:szCs w:val="20"/>
                <w:lang w:val="hr"/>
              </w:rPr>
              <w:t>1.5. Standardni raspon jediničnih troškova, jednokratnih iznosa ili paušalnih stopa</w:t>
            </w:r>
          </w:p>
        </w:tc>
        <w:tc>
          <w:tcPr>
            <w:tcW w:w="6379" w:type="dxa"/>
            <w:vAlign w:val="center"/>
          </w:tcPr>
          <w:p w14:paraId="253C450F" w14:textId="77777777" w:rsidR="00CB4EBF" w:rsidRPr="001C431F" w:rsidRDefault="00CB4EBF" w:rsidP="0054762C">
            <w:pPr>
              <w:spacing w:after="0"/>
              <w:jc w:val="both"/>
              <w:rPr>
                <w:rFonts w:cs="Times New Roman"/>
                <w:noProof/>
                <w:sz w:val="20"/>
                <w:szCs w:val="20"/>
              </w:rPr>
            </w:pPr>
          </w:p>
        </w:tc>
      </w:tr>
      <w:tr w:rsidR="00CB4EBF" w:rsidRPr="00A23750" w14:paraId="74201AF3" w14:textId="77777777" w:rsidTr="0054762C">
        <w:trPr>
          <w:trHeight w:val="300"/>
        </w:trPr>
        <w:tc>
          <w:tcPr>
            <w:tcW w:w="3417" w:type="dxa"/>
            <w:shd w:val="clear" w:color="auto" w:fill="auto"/>
            <w:noWrap/>
            <w:vAlign w:val="center"/>
          </w:tcPr>
          <w:p w14:paraId="618D8193" w14:textId="77777777" w:rsidR="00CB4EBF" w:rsidRPr="001C431F" w:rsidRDefault="00CB4EBF" w:rsidP="0054762C">
            <w:pPr>
              <w:spacing w:after="0"/>
              <w:jc w:val="both"/>
              <w:rPr>
                <w:rFonts w:cs="Times New Roman"/>
                <w:bCs/>
                <w:noProof/>
                <w:sz w:val="20"/>
                <w:szCs w:val="20"/>
              </w:rPr>
            </w:pPr>
            <w:r>
              <w:rPr>
                <w:rFonts w:cs="Times New Roman"/>
                <w:noProof/>
                <w:sz w:val="20"/>
                <w:szCs w:val="20"/>
                <w:lang w:val="hr"/>
              </w:rPr>
              <w:t>1.6. Iznos po mjernoj jedinici ili postotak (za paušalne stope) pojednostavnjene mogućnosti obračuna troškova</w:t>
            </w:r>
          </w:p>
        </w:tc>
        <w:tc>
          <w:tcPr>
            <w:tcW w:w="6379" w:type="dxa"/>
            <w:vAlign w:val="center"/>
          </w:tcPr>
          <w:p w14:paraId="0CB0C271" w14:textId="77777777" w:rsidR="00CB4EBF" w:rsidRPr="001C431F" w:rsidRDefault="00CB4EBF" w:rsidP="0054762C">
            <w:pPr>
              <w:spacing w:after="0"/>
              <w:jc w:val="both"/>
              <w:rPr>
                <w:rFonts w:cs="Times New Roman"/>
                <w:noProof/>
                <w:sz w:val="20"/>
                <w:szCs w:val="20"/>
              </w:rPr>
            </w:pPr>
          </w:p>
        </w:tc>
      </w:tr>
      <w:tr w:rsidR="00CB4EBF" w:rsidRPr="00A23750" w14:paraId="431C8DD9" w14:textId="77777777" w:rsidTr="0054762C">
        <w:trPr>
          <w:trHeight w:val="300"/>
        </w:trPr>
        <w:tc>
          <w:tcPr>
            <w:tcW w:w="3417" w:type="dxa"/>
            <w:shd w:val="clear" w:color="auto" w:fill="auto"/>
            <w:noWrap/>
            <w:vAlign w:val="center"/>
          </w:tcPr>
          <w:p w14:paraId="0EB6DB6F" w14:textId="77777777" w:rsidR="00CB4EBF" w:rsidRPr="001C431F" w:rsidRDefault="00CB4EBF" w:rsidP="0054762C">
            <w:pPr>
              <w:spacing w:after="0"/>
              <w:jc w:val="both"/>
              <w:rPr>
                <w:rFonts w:cs="Times New Roman"/>
                <w:bCs/>
                <w:noProof/>
                <w:sz w:val="20"/>
                <w:szCs w:val="20"/>
              </w:rPr>
            </w:pPr>
            <w:r>
              <w:rPr>
                <w:rFonts w:cs="Times New Roman"/>
                <w:noProof/>
                <w:sz w:val="20"/>
                <w:szCs w:val="20"/>
                <w:lang w:val="hr"/>
              </w:rPr>
              <w:t>1.7. Kategorije troškova obuhvaćene jediničnim troškovima, jednokratnim iznosima ili paušalnim stopama</w:t>
            </w:r>
          </w:p>
        </w:tc>
        <w:tc>
          <w:tcPr>
            <w:tcW w:w="6379" w:type="dxa"/>
            <w:vAlign w:val="center"/>
          </w:tcPr>
          <w:p w14:paraId="180CEE3E" w14:textId="77777777" w:rsidR="00CB4EBF" w:rsidRPr="001C431F" w:rsidRDefault="00CB4EBF" w:rsidP="0054762C">
            <w:pPr>
              <w:spacing w:after="0"/>
              <w:jc w:val="both"/>
              <w:rPr>
                <w:rFonts w:cs="Times New Roman"/>
                <w:noProof/>
                <w:sz w:val="20"/>
                <w:szCs w:val="20"/>
              </w:rPr>
            </w:pPr>
          </w:p>
        </w:tc>
      </w:tr>
      <w:tr w:rsidR="00CB4EBF" w:rsidRPr="00A23750" w14:paraId="6E33958D" w14:textId="77777777" w:rsidTr="0054762C">
        <w:trPr>
          <w:trHeight w:val="300"/>
        </w:trPr>
        <w:tc>
          <w:tcPr>
            <w:tcW w:w="3417" w:type="dxa"/>
            <w:shd w:val="clear" w:color="auto" w:fill="auto"/>
            <w:noWrap/>
            <w:vAlign w:val="center"/>
          </w:tcPr>
          <w:p w14:paraId="397AA90E" w14:textId="77777777" w:rsidR="00CB4EBF" w:rsidRPr="001C431F" w:rsidRDefault="00CB4EBF" w:rsidP="0054762C">
            <w:pPr>
              <w:pageBreakBefore/>
              <w:spacing w:after="0"/>
              <w:jc w:val="both"/>
              <w:rPr>
                <w:rFonts w:cs="Times New Roman"/>
                <w:bCs/>
                <w:noProof/>
                <w:sz w:val="20"/>
                <w:szCs w:val="20"/>
              </w:rPr>
            </w:pPr>
            <w:r>
              <w:rPr>
                <w:rFonts w:cs="Times New Roman"/>
                <w:noProof/>
                <w:sz w:val="20"/>
                <w:szCs w:val="20"/>
                <w:lang w:val="hr"/>
              </w:rPr>
              <w:lastRenderedPageBreak/>
              <w:t>1.8. Obuhvaćaju li te kategorije troškova sve prihvatljive troškove operacije? (Da/ne)</w:t>
            </w:r>
          </w:p>
        </w:tc>
        <w:tc>
          <w:tcPr>
            <w:tcW w:w="6379" w:type="dxa"/>
            <w:vAlign w:val="center"/>
          </w:tcPr>
          <w:p w14:paraId="31B45527" w14:textId="77777777" w:rsidR="00CB4EBF" w:rsidRPr="001C431F" w:rsidRDefault="00CB4EBF" w:rsidP="0054762C">
            <w:pPr>
              <w:spacing w:after="0"/>
              <w:jc w:val="both"/>
              <w:rPr>
                <w:rFonts w:cs="Times New Roman"/>
                <w:i/>
                <w:noProof/>
                <w:sz w:val="20"/>
                <w:szCs w:val="20"/>
              </w:rPr>
            </w:pPr>
          </w:p>
        </w:tc>
      </w:tr>
      <w:tr w:rsidR="00CB4EBF" w:rsidRPr="00A23750" w14:paraId="7AD15188" w14:textId="77777777" w:rsidTr="0054762C">
        <w:trPr>
          <w:trHeight w:val="300"/>
        </w:trPr>
        <w:tc>
          <w:tcPr>
            <w:tcW w:w="3417" w:type="dxa"/>
            <w:shd w:val="clear" w:color="auto" w:fill="auto"/>
            <w:noWrap/>
            <w:vAlign w:val="center"/>
          </w:tcPr>
          <w:p w14:paraId="4BFD4100" w14:textId="77777777" w:rsidR="00CB4EBF" w:rsidRPr="001C431F" w:rsidRDefault="00CB4EBF" w:rsidP="0054762C">
            <w:pPr>
              <w:spacing w:after="0"/>
              <w:jc w:val="both"/>
              <w:rPr>
                <w:rFonts w:cs="Times New Roman"/>
                <w:bCs/>
                <w:noProof/>
                <w:sz w:val="20"/>
                <w:szCs w:val="20"/>
              </w:rPr>
            </w:pPr>
            <w:r>
              <w:rPr>
                <w:rFonts w:cs="Times New Roman"/>
                <w:noProof/>
                <w:sz w:val="20"/>
                <w:szCs w:val="20"/>
                <w:lang w:val="hr"/>
              </w:rPr>
              <w:t>1.9. Metoda prilagodbe/prilagodbi</w:t>
            </w:r>
            <w:r>
              <w:rPr>
                <w:rStyle w:val="FootnoteReference"/>
                <w:rFonts w:cs="Times New Roman"/>
                <w:noProof/>
                <w:sz w:val="20"/>
                <w:szCs w:val="20"/>
                <w:lang w:val="hr"/>
              </w:rPr>
              <w:footnoteReference w:customMarkFollows="1" w:id="12"/>
              <w:t xml:space="preserve"> </w:t>
            </w:r>
            <w:r>
              <w:rPr>
                <w:rStyle w:val="FootnoteReference"/>
                <w:rFonts w:cs="Times New Roman"/>
                <w:noProof/>
                <w:sz w:val="20"/>
                <w:szCs w:val="20"/>
                <w:vertAlign w:val="baseline"/>
                <w:lang w:val="hr"/>
              </w:rPr>
              <w:sym w:font="Symbol" w:char="F028"/>
            </w:r>
            <w:r>
              <w:rPr>
                <w:rStyle w:val="FootnoteReference"/>
                <w:rFonts w:cs="Times New Roman"/>
                <w:noProof/>
                <w:sz w:val="20"/>
                <w:szCs w:val="20"/>
                <w:vertAlign w:val="baseline"/>
                <w:lang w:val="hr"/>
              </w:rPr>
              <w:sym w:font="Symbol" w:char="F033"/>
            </w:r>
            <w:r>
              <w:rPr>
                <w:rStyle w:val="FootnoteReference"/>
                <w:rFonts w:cs="Times New Roman"/>
                <w:noProof/>
                <w:sz w:val="20"/>
                <w:szCs w:val="20"/>
                <w:vertAlign w:val="baseline"/>
                <w:lang w:val="hr"/>
              </w:rPr>
              <w:sym w:font="Symbol" w:char="F029"/>
            </w:r>
          </w:p>
        </w:tc>
        <w:tc>
          <w:tcPr>
            <w:tcW w:w="6379" w:type="dxa"/>
            <w:vAlign w:val="center"/>
          </w:tcPr>
          <w:p w14:paraId="4DB383BA" w14:textId="77777777" w:rsidR="00CB4EBF" w:rsidRPr="001C431F" w:rsidRDefault="00CB4EBF" w:rsidP="0054762C">
            <w:pPr>
              <w:spacing w:after="0"/>
              <w:jc w:val="both"/>
              <w:rPr>
                <w:rFonts w:cs="Times New Roman"/>
                <w:noProof/>
                <w:sz w:val="20"/>
                <w:szCs w:val="20"/>
              </w:rPr>
            </w:pPr>
          </w:p>
        </w:tc>
      </w:tr>
      <w:tr w:rsidR="00CB4EBF" w:rsidRPr="00A23750" w14:paraId="6AFE4C2F" w14:textId="77777777" w:rsidTr="0054762C">
        <w:trPr>
          <w:trHeight w:val="300"/>
        </w:trPr>
        <w:tc>
          <w:tcPr>
            <w:tcW w:w="3417" w:type="dxa"/>
            <w:shd w:val="clear" w:color="auto" w:fill="auto"/>
            <w:noWrap/>
            <w:vAlign w:val="center"/>
          </w:tcPr>
          <w:p w14:paraId="4B31BBE0" w14:textId="77777777" w:rsidR="00CB4EBF" w:rsidRPr="001C431F" w:rsidRDefault="00CB4EBF" w:rsidP="0054762C">
            <w:pPr>
              <w:spacing w:after="0"/>
              <w:jc w:val="both"/>
              <w:rPr>
                <w:rFonts w:cs="Times New Roman"/>
                <w:noProof/>
                <w:sz w:val="20"/>
                <w:szCs w:val="20"/>
              </w:rPr>
            </w:pPr>
            <w:r>
              <w:rPr>
                <w:rFonts w:cs="Times New Roman"/>
                <w:noProof/>
                <w:sz w:val="20"/>
                <w:szCs w:val="20"/>
                <w:lang w:val="hr"/>
              </w:rPr>
              <w:t xml:space="preserve">1.10. Provjera uspješnosti ostvarenih jedinica </w:t>
            </w:r>
          </w:p>
          <w:p w14:paraId="4E0168C0" w14:textId="77777777" w:rsidR="00CB4EBF" w:rsidRPr="001C431F" w:rsidRDefault="00CB4EBF" w:rsidP="0054762C">
            <w:pPr>
              <w:spacing w:after="0"/>
              <w:jc w:val="both"/>
              <w:rPr>
                <w:rFonts w:cs="Times New Roman"/>
                <w:noProof/>
                <w:sz w:val="20"/>
                <w:szCs w:val="20"/>
              </w:rPr>
            </w:pPr>
            <w:r>
              <w:rPr>
                <w:rFonts w:cs="Times New Roman"/>
                <w:noProof/>
                <w:sz w:val="20"/>
                <w:szCs w:val="20"/>
                <w:lang w:val="hr"/>
              </w:rPr>
              <w:t>– opišite koji će se dokument/dokumenti ili sustavi upotrijebiti za provjeru uspješnosti ostvarenih jedinica</w:t>
            </w:r>
          </w:p>
          <w:p w14:paraId="271C6891" w14:textId="77777777" w:rsidR="00CB4EBF" w:rsidRPr="001C431F" w:rsidRDefault="00CB4EBF" w:rsidP="0054762C">
            <w:pPr>
              <w:spacing w:after="0"/>
              <w:jc w:val="both"/>
              <w:rPr>
                <w:rFonts w:cs="Times New Roman"/>
                <w:noProof/>
                <w:sz w:val="20"/>
                <w:szCs w:val="20"/>
              </w:rPr>
            </w:pPr>
            <w:r>
              <w:rPr>
                <w:rFonts w:cs="Times New Roman"/>
                <w:noProof/>
                <w:sz w:val="20"/>
                <w:szCs w:val="20"/>
                <w:lang w:val="hr"/>
              </w:rPr>
              <w:t xml:space="preserve">– opišite što će se provjeravati tijekom provjera upravljanja i tko će provoditi te provjere </w:t>
            </w:r>
          </w:p>
          <w:p w14:paraId="07E43BDA" w14:textId="77777777" w:rsidR="00CB4EBF" w:rsidRPr="001C431F" w:rsidRDefault="00CB4EBF" w:rsidP="0054762C">
            <w:pPr>
              <w:spacing w:after="0"/>
              <w:jc w:val="both"/>
              <w:rPr>
                <w:rFonts w:cs="Times New Roman"/>
                <w:noProof/>
                <w:sz w:val="20"/>
                <w:szCs w:val="20"/>
              </w:rPr>
            </w:pPr>
            <w:r>
              <w:rPr>
                <w:rFonts w:cs="Times New Roman"/>
                <w:noProof/>
                <w:sz w:val="20"/>
                <w:szCs w:val="20"/>
                <w:lang w:val="hr"/>
              </w:rPr>
              <w:t xml:space="preserve">– opišite mehanizme koji će se uvesti za prikupljanje i pohranu relevantnih podataka/dokumenata </w:t>
            </w:r>
          </w:p>
        </w:tc>
        <w:tc>
          <w:tcPr>
            <w:tcW w:w="6379" w:type="dxa"/>
            <w:vAlign w:val="center"/>
          </w:tcPr>
          <w:p w14:paraId="59D8BE03" w14:textId="77777777" w:rsidR="00CB4EBF" w:rsidRPr="001C431F" w:rsidRDefault="00CB4EBF" w:rsidP="0054762C">
            <w:pPr>
              <w:spacing w:after="0"/>
              <w:jc w:val="both"/>
              <w:rPr>
                <w:rFonts w:cs="Times New Roman"/>
                <w:noProof/>
                <w:sz w:val="20"/>
                <w:szCs w:val="20"/>
              </w:rPr>
            </w:pPr>
          </w:p>
        </w:tc>
      </w:tr>
      <w:tr w:rsidR="00CB4EBF" w:rsidRPr="00A23750" w14:paraId="774497FF" w14:textId="77777777" w:rsidTr="0054762C">
        <w:trPr>
          <w:trHeight w:val="300"/>
        </w:trPr>
        <w:tc>
          <w:tcPr>
            <w:tcW w:w="3417" w:type="dxa"/>
            <w:shd w:val="clear" w:color="auto" w:fill="auto"/>
            <w:noWrap/>
            <w:vAlign w:val="center"/>
          </w:tcPr>
          <w:p w14:paraId="38BD91C6" w14:textId="77777777" w:rsidR="00CB4EBF" w:rsidRPr="001C431F" w:rsidRDefault="00CB4EBF" w:rsidP="0054762C">
            <w:pPr>
              <w:spacing w:after="0"/>
              <w:jc w:val="both"/>
              <w:rPr>
                <w:rFonts w:cs="Times New Roman"/>
                <w:bCs/>
                <w:noProof/>
                <w:sz w:val="20"/>
                <w:szCs w:val="20"/>
              </w:rPr>
            </w:pPr>
            <w:r>
              <w:rPr>
                <w:rFonts w:cs="Times New Roman"/>
                <w:noProof/>
                <w:sz w:val="20"/>
                <w:szCs w:val="20"/>
                <w:lang w:val="hr"/>
              </w:rPr>
              <w:t>1.11. Mogući negativni poticaji, mjere ublažavanja</w:t>
            </w:r>
            <w:r>
              <w:rPr>
                <w:rStyle w:val="FootnoteReference"/>
                <w:rFonts w:cs="Times New Roman"/>
                <w:noProof/>
                <w:sz w:val="20"/>
                <w:szCs w:val="20"/>
                <w:lang w:val="hr"/>
              </w:rPr>
              <w:footnoteReference w:customMarkFollows="1" w:id="13"/>
              <w:t>i procijenjena razina rizika (visoka/srednja/niska)</w:t>
            </w:r>
            <w:r>
              <w:rPr>
                <w:rStyle w:val="FootnoteReference"/>
                <w:rFonts w:cs="Times New Roman"/>
                <w:noProof/>
                <w:sz w:val="20"/>
                <w:szCs w:val="20"/>
                <w:vertAlign w:val="baseline"/>
                <w:lang w:val="hr"/>
              </w:rPr>
              <w:sym w:font="Symbol" w:char="F028"/>
            </w:r>
            <w:r>
              <w:rPr>
                <w:rStyle w:val="FootnoteReference"/>
                <w:rFonts w:cs="Times New Roman"/>
                <w:noProof/>
                <w:sz w:val="20"/>
                <w:szCs w:val="20"/>
                <w:vertAlign w:val="baseline"/>
                <w:lang w:val="hr"/>
              </w:rPr>
              <w:sym w:font="Symbol" w:char="F034"/>
            </w:r>
            <w:r>
              <w:rPr>
                <w:rStyle w:val="FootnoteReference"/>
                <w:rFonts w:cs="Times New Roman"/>
                <w:noProof/>
                <w:sz w:val="20"/>
                <w:szCs w:val="20"/>
                <w:vertAlign w:val="baseline"/>
                <w:lang w:val="hr"/>
              </w:rPr>
              <w:sym w:font="Symbol" w:char="F029"/>
            </w:r>
          </w:p>
        </w:tc>
        <w:tc>
          <w:tcPr>
            <w:tcW w:w="6379" w:type="dxa"/>
            <w:vAlign w:val="center"/>
          </w:tcPr>
          <w:p w14:paraId="5B8E2594" w14:textId="77777777" w:rsidR="00CB4EBF" w:rsidRPr="001C431F" w:rsidRDefault="00CB4EBF" w:rsidP="0054762C">
            <w:pPr>
              <w:spacing w:after="0"/>
              <w:jc w:val="both"/>
              <w:rPr>
                <w:rFonts w:cs="Times New Roman"/>
                <w:noProof/>
                <w:sz w:val="20"/>
                <w:szCs w:val="20"/>
              </w:rPr>
            </w:pPr>
          </w:p>
        </w:tc>
      </w:tr>
      <w:tr w:rsidR="00CB4EBF" w:rsidRPr="00A23750" w14:paraId="3A67D375" w14:textId="77777777" w:rsidTr="0054762C">
        <w:trPr>
          <w:trHeight w:val="300"/>
        </w:trPr>
        <w:tc>
          <w:tcPr>
            <w:tcW w:w="3417" w:type="dxa"/>
            <w:shd w:val="clear" w:color="auto" w:fill="auto"/>
            <w:noWrap/>
            <w:vAlign w:val="center"/>
          </w:tcPr>
          <w:p w14:paraId="1D880DCC" w14:textId="77777777" w:rsidR="00CB4EBF" w:rsidRPr="001C431F" w:rsidRDefault="00CB4EBF" w:rsidP="0054762C">
            <w:pPr>
              <w:spacing w:after="0"/>
              <w:jc w:val="both"/>
              <w:rPr>
                <w:rFonts w:cs="Times New Roman"/>
                <w:noProof/>
                <w:sz w:val="20"/>
                <w:szCs w:val="20"/>
              </w:rPr>
            </w:pPr>
            <w:r>
              <w:rPr>
                <w:rFonts w:cs="Times New Roman"/>
                <w:noProof/>
                <w:sz w:val="20"/>
                <w:szCs w:val="20"/>
                <w:lang w:val="hr"/>
              </w:rPr>
              <w:t>1.12. Ukupan iznos (na nacionalnoj razini i na razini EU-a) za koji se očekuje da će ga Komisija nadoknaditi na toj osnovi</w:t>
            </w:r>
          </w:p>
        </w:tc>
        <w:tc>
          <w:tcPr>
            <w:tcW w:w="6379" w:type="dxa"/>
            <w:vAlign w:val="center"/>
          </w:tcPr>
          <w:p w14:paraId="0785FDD7" w14:textId="77777777" w:rsidR="00CB4EBF" w:rsidRPr="001C431F" w:rsidRDefault="00CB4EBF" w:rsidP="0054762C">
            <w:pPr>
              <w:spacing w:after="0"/>
              <w:jc w:val="both"/>
              <w:rPr>
                <w:rFonts w:cs="Times New Roman"/>
                <w:noProof/>
                <w:sz w:val="20"/>
                <w:szCs w:val="20"/>
              </w:rPr>
            </w:pPr>
          </w:p>
        </w:tc>
      </w:tr>
    </w:tbl>
    <w:p w14:paraId="3C280BBE" w14:textId="77777777" w:rsidR="00CB4EBF" w:rsidRPr="001C431F" w:rsidRDefault="00CB4EBF" w:rsidP="00CB4EBF">
      <w:pPr>
        <w:spacing w:after="0"/>
        <w:jc w:val="both"/>
        <w:rPr>
          <w:rFonts w:cs="Times New Roman"/>
          <w:b/>
          <w:noProof/>
          <w:sz w:val="20"/>
          <w:szCs w:val="20"/>
          <w:u w:val="single"/>
        </w:rPr>
      </w:pPr>
    </w:p>
    <w:p w14:paraId="67574280" w14:textId="77777777" w:rsidR="00CB4EBF" w:rsidRPr="001C431F" w:rsidRDefault="00CB4EBF" w:rsidP="00CB4EBF">
      <w:pPr>
        <w:spacing w:after="0"/>
        <w:jc w:val="both"/>
        <w:rPr>
          <w:rFonts w:cs="Times New Roman"/>
          <w:b/>
          <w:noProof/>
          <w:sz w:val="20"/>
          <w:szCs w:val="20"/>
        </w:rPr>
      </w:pPr>
    </w:p>
    <w:p w14:paraId="199F1779" w14:textId="77777777" w:rsidR="00CB4EBF" w:rsidRPr="001C431F" w:rsidRDefault="00CB4EBF" w:rsidP="00CB4EBF">
      <w:pPr>
        <w:spacing w:after="0"/>
        <w:jc w:val="both"/>
        <w:rPr>
          <w:rFonts w:cs="Times New Roman"/>
          <w:b/>
          <w:noProof/>
          <w:sz w:val="20"/>
          <w:szCs w:val="20"/>
        </w:rPr>
      </w:pPr>
      <w:r>
        <w:rPr>
          <w:rFonts w:cs="Times New Roman"/>
          <w:b/>
          <w:bCs/>
          <w:noProof/>
          <w:sz w:val="20"/>
          <w:szCs w:val="20"/>
          <w:lang w:val="hr"/>
        </w:rPr>
        <w:t>C: Izračun standardnog raspona jediničnih troškova, jednokratnih iznosa ili paušalnih stopa</w:t>
      </w:r>
      <w:r>
        <w:rPr>
          <w:rFonts w:cs="Times New Roman"/>
          <w:b/>
          <w:bCs/>
          <w:i/>
          <w:iCs/>
          <w:strike/>
          <w:sz w:val="20"/>
          <w:szCs w:val="20"/>
          <w:lang w:val="hr"/>
        </w:rPr>
        <w:t>*</w:t>
      </w:r>
    </w:p>
    <w:p w14:paraId="075430D0" w14:textId="77777777" w:rsidR="00CB4EBF" w:rsidRPr="001C431F" w:rsidRDefault="00CB4EBF" w:rsidP="00CB4EBF">
      <w:pPr>
        <w:autoSpaceDE w:val="0"/>
        <w:autoSpaceDN w:val="0"/>
        <w:adjustRightInd w:val="0"/>
        <w:spacing w:after="0"/>
        <w:jc w:val="both"/>
        <w:rPr>
          <w:rFonts w:cs="Times New Roman"/>
          <w:noProof/>
          <w:sz w:val="20"/>
          <w:szCs w:val="20"/>
        </w:rPr>
      </w:pPr>
      <w:r>
        <w:rPr>
          <w:rFonts w:cs="Times New Roman"/>
          <w:noProof/>
          <w:sz w:val="20"/>
          <w:szCs w:val="20"/>
          <w:lang w:val="hr"/>
        </w:rPr>
        <w:t>1. Izvor podataka upotrijebljenih za izračun standardnog raspona jediničnih troškova, jednokratnih iznosa ili paušalnih stopa (tko je proizveo, prikupio i zabilježio podatke; gdje su podaci pohranjeni; krajnji datumi; potvrđivanje itd.):</w:t>
      </w:r>
    </w:p>
    <w:p w14:paraId="43E14359" w14:textId="77777777" w:rsidR="00CB4EBF" w:rsidRPr="001C431F" w:rsidRDefault="00CB4EBF" w:rsidP="00CB4EBF">
      <w:pPr>
        <w:pBdr>
          <w:top w:val="single" w:sz="4" w:space="1" w:color="auto"/>
          <w:left w:val="single" w:sz="4" w:space="4" w:color="auto"/>
          <w:bottom w:val="single" w:sz="4" w:space="5" w:color="auto"/>
          <w:right w:val="single" w:sz="4" w:space="4" w:color="auto"/>
        </w:pBdr>
        <w:autoSpaceDE w:val="0"/>
        <w:autoSpaceDN w:val="0"/>
        <w:adjustRightInd w:val="0"/>
        <w:spacing w:after="0"/>
        <w:jc w:val="both"/>
        <w:rPr>
          <w:rFonts w:cs="Times New Roman"/>
          <w:noProof/>
          <w:sz w:val="20"/>
          <w:szCs w:val="20"/>
        </w:rPr>
      </w:pPr>
    </w:p>
    <w:p w14:paraId="33E1987B" w14:textId="77777777" w:rsidR="00CB4EBF" w:rsidRPr="001C431F" w:rsidRDefault="00CB4EBF" w:rsidP="00CB4EBF">
      <w:pPr>
        <w:autoSpaceDE w:val="0"/>
        <w:autoSpaceDN w:val="0"/>
        <w:adjustRightInd w:val="0"/>
        <w:spacing w:after="0"/>
        <w:jc w:val="both"/>
        <w:rPr>
          <w:rFonts w:cs="Times New Roman"/>
          <w:noProof/>
          <w:sz w:val="20"/>
          <w:szCs w:val="20"/>
        </w:rPr>
      </w:pPr>
      <w:r>
        <w:rPr>
          <w:rFonts w:cs="Times New Roman"/>
          <w:noProof/>
          <w:sz w:val="20"/>
          <w:szCs w:val="20"/>
          <w:lang w:val="hr"/>
        </w:rPr>
        <w:t xml:space="preserve">2. Navedite zašto su predložena metoda i izračun na temelju članka 88. stavka 2. </w:t>
      </w:r>
      <w:r>
        <w:rPr>
          <w:rFonts w:cs="Times New Roman"/>
          <w:sz w:val="20"/>
          <w:szCs w:val="20"/>
          <w:u w:val="single"/>
          <w:lang w:val="hr"/>
        </w:rPr>
        <w:t>Uredbe o zajedničkim odredbama</w:t>
      </w:r>
      <w:r>
        <w:rPr>
          <w:rFonts w:cs="Times New Roman"/>
          <w:noProof/>
          <w:sz w:val="20"/>
          <w:szCs w:val="20"/>
          <w:lang w:val="hr"/>
        </w:rPr>
        <w:t xml:space="preserve"> relevantni za tu vrstu operacije:</w:t>
      </w:r>
    </w:p>
    <w:p w14:paraId="70A376C7" w14:textId="77777777" w:rsidR="00CB4EBF" w:rsidRPr="001C431F" w:rsidRDefault="00CB4EBF" w:rsidP="00CB4EBF">
      <w:pPr>
        <w:pBdr>
          <w:top w:val="single" w:sz="4" w:space="1" w:color="auto"/>
          <w:left w:val="single" w:sz="4" w:space="4" w:color="auto"/>
          <w:bottom w:val="single" w:sz="4" w:space="5" w:color="auto"/>
          <w:right w:val="single" w:sz="4" w:space="4" w:color="auto"/>
        </w:pBdr>
        <w:autoSpaceDE w:val="0"/>
        <w:autoSpaceDN w:val="0"/>
        <w:adjustRightInd w:val="0"/>
        <w:spacing w:after="0"/>
        <w:jc w:val="both"/>
        <w:rPr>
          <w:rFonts w:cs="Times New Roman"/>
          <w:noProof/>
          <w:sz w:val="20"/>
          <w:szCs w:val="20"/>
        </w:rPr>
      </w:pPr>
    </w:p>
    <w:p w14:paraId="4A10B72A" w14:textId="77777777" w:rsidR="00CB4EBF" w:rsidRPr="001C431F" w:rsidRDefault="00CB4EBF" w:rsidP="00CB4EBF">
      <w:pPr>
        <w:autoSpaceDE w:val="0"/>
        <w:autoSpaceDN w:val="0"/>
        <w:adjustRightInd w:val="0"/>
        <w:spacing w:after="0"/>
        <w:jc w:val="both"/>
        <w:rPr>
          <w:rFonts w:cs="Times New Roman"/>
          <w:noProof/>
          <w:sz w:val="20"/>
          <w:szCs w:val="20"/>
        </w:rPr>
      </w:pPr>
      <w:r>
        <w:rPr>
          <w:rFonts w:cs="Times New Roman"/>
          <w:noProof/>
          <w:sz w:val="20"/>
          <w:szCs w:val="20"/>
          <w:lang w:val="hr"/>
        </w:rPr>
        <w:t xml:space="preserve">3. Navedite kako su provedeni izračuni, posebice uključujući eventualne pretpostavke s obzirom na kvalitetu ili količine. Ako je to relevantno, trebalo bi upotrijebiti i dostaviti, ako se to zatraži, statističke dokaze i referentne vrijednosti u formatu kojim se Komisija može koristiti. </w:t>
      </w:r>
    </w:p>
    <w:p w14:paraId="7E4F9E4C" w14:textId="77777777" w:rsidR="00CB4EBF" w:rsidRPr="001C431F" w:rsidRDefault="00CB4EBF" w:rsidP="00CB4EBF">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cs="Times New Roman"/>
          <w:noProof/>
          <w:sz w:val="20"/>
          <w:szCs w:val="20"/>
        </w:rPr>
      </w:pPr>
    </w:p>
    <w:p w14:paraId="4F78B3DB" w14:textId="77777777" w:rsidR="00CB4EBF" w:rsidRPr="001C431F" w:rsidRDefault="00CB4EBF" w:rsidP="00CB4EBF">
      <w:pPr>
        <w:autoSpaceDE w:val="0"/>
        <w:autoSpaceDN w:val="0"/>
        <w:adjustRightInd w:val="0"/>
        <w:spacing w:after="0"/>
        <w:jc w:val="both"/>
        <w:rPr>
          <w:rFonts w:cs="Times New Roman"/>
          <w:bCs/>
          <w:noProof/>
          <w:sz w:val="20"/>
          <w:szCs w:val="20"/>
        </w:rPr>
      </w:pPr>
      <w:r>
        <w:rPr>
          <w:rFonts w:cs="Times New Roman"/>
          <w:noProof/>
          <w:sz w:val="20"/>
          <w:szCs w:val="20"/>
          <w:lang w:val="hr"/>
        </w:rPr>
        <w:t>4. Objasnite kako ste osigurali da su u izračun standardnog raspona jediničnih troškova, jednokratnih iznosa ili paušalnih stopa uključeni samo prihvatljivi rashodi;</w:t>
      </w:r>
    </w:p>
    <w:p w14:paraId="6498C846" w14:textId="77777777" w:rsidR="00CB4EBF" w:rsidRPr="001C431F" w:rsidRDefault="00CB4EBF" w:rsidP="00CB4EBF">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cs="Times New Roman"/>
          <w:bCs/>
          <w:noProof/>
          <w:sz w:val="20"/>
          <w:szCs w:val="20"/>
        </w:rPr>
      </w:pPr>
    </w:p>
    <w:p w14:paraId="54481EF6" w14:textId="77777777" w:rsidR="00CB4EBF" w:rsidRPr="001C431F" w:rsidRDefault="00CB4EBF" w:rsidP="00CB4EBF">
      <w:pPr>
        <w:spacing w:after="0"/>
        <w:jc w:val="both"/>
        <w:rPr>
          <w:rFonts w:cs="Times New Roman"/>
          <w:bCs/>
          <w:noProof/>
          <w:sz w:val="20"/>
          <w:szCs w:val="20"/>
        </w:rPr>
      </w:pPr>
      <w:r>
        <w:rPr>
          <w:rFonts w:cs="Times New Roman"/>
          <w:noProof/>
          <w:sz w:val="20"/>
          <w:szCs w:val="20"/>
          <w:lang w:val="hr"/>
        </w:rPr>
        <w:t>5. Procjena jednog ili više tijela za reviziju s obzirom na metodologiju izračuna te iznose i mehanizmi kojima se osiguravaju provjera, kvaliteta, prikupljanje i pohrana podataka:</w:t>
      </w:r>
    </w:p>
    <w:p w14:paraId="6DD8B508" w14:textId="77777777" w:rsidR="00CB4EBF" w:rsidRPr="001C431F" w:rsidRDefault="00CB4EBF" w:rsidP="00CB4EBF">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cs="Times New Roman"/>
          <w:bCs/>
          <w:noProof/>
          <w:sz w:val="20"/>
          <w:szCs w:val="20"/>
        </w:rPr>
      </w:pPr>
    </w:p>
    <w:p w14:paraId="2DA5E2CD" w14:textId="77777777" w:rsidR="00CB4EBF" w:rsidRPr="001C431F" w:rsidRDefault="00CB4EBF" w:rsidP="00CB4EBF">
      <w:pPr>
        <w:spacing w:after="0"/>
        <w:jc w:val="both"/>
        <w:rPr>
          <w:rFonts w:cs="Times New Roman"/>
          <w:b/>
          <w:bCs/>
          <w:noProof/>
          <w:sz w:val="20"/>
          <w:szCs w:val="20"/>
        </w:rPr>
      </w:pPr>
      <w:r>
        <w:rPr>
          <w:rFonts w:cs="Times New Roman"/>
          <w:noProof/>
          <w:sz w:val="20"/>
          <w:szCs w:val="20"/>
          <w:lang w:val="hr"/>
        </w:rPr>
        <w:br w:type="page"/>
      </w:r>
      <w:r>
        <w:rPr>
          <w:rFonts w:cs="Times New Roman"/>
          <w:b/>
          <w:bCs/>
          <w:i/>
          <w:iCs/>
          <w:noProof/>
          <w:sz w:val="20"/>
          <w:szCs w:val="20"/>
          <w:lang w:val="hr"/>
        </w:rPr>
        <w:lastRenderedPageBreak/>
        <w:t xml:space="preserve">Dodatak 2. </w:t>
      </w:r>
      <w:r>
        <w:rPr>
          <w:rFonts w:cs="Times New Roman"/>
          <w:b/>
          <w:bCs/>
          <w:noProof/>
          <w:sz w:val="20"/>
          <w:szCs w:val="20"/>
          <w:lang w:val="hr"/>
        </w:rPr>
        <w:t>Nije primjenjivo</w:t>
      </w:r>
    </w:p>
    <w:p w14:paraId="4FFAA5B8" w14:textId="77777777" w:rsidR="00CB4EBF" w:rsidRPr="001C431F" w:rsidRDefault="00CB4EBF" w:rsidP="00CB4EBF">
      <w:pPr>
        <w:spacing w:after="0"/>
        <w:jc w:val="both"/>
        <w:rPr>
          <w:rFonts w:cs="Times New Roman"/>
          <w:b/>
          <w:bCs/>
          <w:sz w:val="20"/>
          <w:szCs w:val="20"/>
        </w:rPr>
      </w:pPr>
    </w:p>
    <w:p w14:paraId="5DB4561D" w14:textId="77777777" w:rsidR="00CB4EBF" w:rsidRPr="001C431F" w:rsidRDefault="00CB4EBF" w:rsidP="00CB4EBF">
      <w:pPr>
        <w:spacing w:after="0"/>
        <w:jc w:val="both"/>
        <w:rPr>
          <w:rFonts w:cs="Times New Roman"/>
          <w:noProof/>
          <w:sz w:val="20"/>
          <w:szCs w:val="20"/>
        </w:rPr>
      </w:pPr>
      <w:r>
        <w:rPr>
          <w:rFonts w:cs="Times New Roman"/>
          <w:b/>
          <w:bCs/>
          <w:sz w:val="20"/>
          <w:szCs w:val="20"/>
          <w:lang w:val="hr"/>
        </w:rPr>
        <w:t xml:space="preserve">Doprinos Unije na temelju </w:t>
      </w:r>
      <w:r>
        <w:rPr>
          <w:rFonts w:cs="Times New Roman"/>
          <w:b/>
          <w:bCs/>
          <w:noProof/>
          <w:sz w:val="20"/>
          <w:szCs w:val="20"/>
          <w:lang w:val="hr"/>
        </w:rPr>
        <w:t>financiranja koje nije povezano s troškovima</w:t>
      </w:r>
    </w:p>
    <w:p w14:paraId="6A58814E" w14:textId="77777777" w:rsidR="00CB4EBF" w:rsidRPr="001C431F" w:rsidRDefault="00CB4EBF" w:rsidP="00CB4EBF">
      <w:pPr>
        <w:spacing w:after="0"/>
        <w:jc w:val="both"/>
        <w:rPr>
          <w:rFonts w:cs="Times New Roman"/>
          <w:b/>
          <w:bCs/>
          <w:noProof/>
          <w:sz w:val="20"/>
          <w:szCs w:val="20"/>
        </w:rPr>
      </w:pPr>
      <w:r>
        <w:rPr>
          <w:rFonts w:cs="Times New Roman"/>
          <w:b/>
          <w:bCs/>
          <w:noProof/>
          <w:sz w:val="20"/>
          <w:szCs w:val="20"/>
          <w:lang w:val="hr"/>
        </w:rPr>
        <w:t>Predložak za podnošenje podataka Komisiji na razmatranje</w:t>
      </w:r>
    </w:p>
    <w:p w14:paraId="60658751" w14:textId="77777777" w:rsidR="00CB4EBF" w:rsidRPr="001C431F" w:rsidRDefault="00CB4EBF" w:rsidP="00CB4EBF">
      <w:pPr>
        <w:spacing w:after="0"/>
        <w:jc w:val="both"/>
        <w:rPr>
          <w:rFonts w:cs="Times New Roman"/>
          <w:bCs/>
          <w:noProof/>
          <w:sz w:val="20"/>
          <w:szCs w:val="20"/>
        </w:rPr>
      </w:pPr>
    </w:p>
    <w:p w14:paraId="3205238A" w14:textId="77777777" w:rsidR="00CB4EBF" w:rsidRPr="001C431F" w:rsidRDefault="00CB4EBF" w:rsidP="00CB4EBF">
      <w:pPr>
        <w:spacing w:after="0"/>
        <w:jc w:val="both"/>
        <w:rPr>
          <w:rFonts w:cs="Times New Roman"/>
          <w:bCs/>
          <w:i/>
          <w:noProof/>
          <w:sz w:val="20"/>
          <w:szCs w:val="20"/>
        </w:rPr>
      </w:pPr>
      <w:r>
        <w:rPr>
          <w:rFonts w:cs="Times New Roman"/>
          <w:noProof/>
          <w:sz w:val="20"/>
          <w:szCs w:val="20"/>
          <w:lang w:val="hr"/>
        </w:rPr>
        <w:t>(članak 95. Uredbe (EU) 2021/1060 (Uredba o zajedničkim odredbama))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CB4EBF" w:rsidRPr="00A23750" w14:paraId="6F498EBC" w14:textId="77777777" w:rsidTr="0054762C">
        <w:tc>
          <w:tcPr>
            <w:tcW w:w="4644" w:type="dxa"/>
            <w:shd w:val="clear" w:color="auto" w:fill="auto"/>
          </w:tcPr>
          <w:p w14:paraId="0A313B4E" w14:textId="77777777" w:rsidR="00CB4EBF" w:rsidRPr="001C431F" w:rsidRDefault="00CB4EBF" w:rsidP="0054762C">
            <w:pPr>
              <w:spacing w:after="0"/>
              <w:jc w:val="both"/>
              <w:rPr>
                <w:rFonts w:cs="Times New Roman"/>
                <w:noProof/>
                <w:sz w:val="20"/>
                <w:szCs w:val="20"/>
              </w:rPr>
            </w:pPr>
            <w:r>
              <w:rPr>
                <w:rFonts w:cs="Times New Roman"/>
                <w:noProof/>
                <w:sz w:val="20"/>
                <w:szCs w:val="20"/>
                <w:lang w:val="hr"/>
              </w:rPr>
              <w:t>Datum podnošenja prijedloga</w:t>
            </w:r>
          </w:p>
        </w:tc>
        <w:tc>
          <w:tcPr>
            <w:tcW w:w="4644" w:type="dxa"/>
            <w:shd w:val="clear" w:color="auto" w:fill="auto"/>
          </w:tcPr>
          <w:p w14:paraId="1DBCCE78" w14:textId="77777777" w:rsidR="00CB4EBF" w:rsidRPr="001C431F" w:rsidRDefault="00CB4EBF" w:rsidP="0054762C">
            <w:pPr>
              <w:spacing w:after="0"/>
              <w:jc w:val="both"/>
              <w:rPr>
                <w:rFonts w:cs="Times New Roman"/>
                <w:noProof/>
                <w:sz w:val="20"/>
                <w:szCs w:val="20"/>
              </w:rPr>
            </w:pPr>
          </w:p>
        </w:tc>
      </w:tr>
      <w:tr w:rsidR="00CB4EBF" w:rsidRPr="00A23750" w14:paraId="21E02F0E" w14:textId="77777777" w:rsidTr="0054762C">
        <w:tc>
          <w:tcPr>
            <w:tcW w:w="4644" w:type="dxa"/>
            <w:shd w:val="clear" w:color="auto" w:fill="auto"/>
          </w:tcPr>
          <w:p w14:paraId="73F5A486" w14:textId="77777777" w:rsidR="00CB4EBF" w:rsidRPr="001C431F" w:rsidRDefault="00CB4EBF" w:rsidP="0054762C">
            <w:pPr>
              <w:spacing w:after="0"/>
              <w:jc w:val="both"/>
              <w:rPr>
                <w:rFonts w:cs="Times New Roman"/>
                <w:noProof/>
                <w:sz w:val="20"/>
                <w:szCs w:val="20"/>
              </w:rPr>
            </w:pPr>
          </w:p>
        </w:tc>
        <w:tc>
          <w:tcPr>
            <w:tcW w:w="4644" w:type="dxa"/>
            <w:shd w:val="clear" w:color="auto" w:fill="auto"/>
          </w:tcPr>
          <w:p w14:paraId="31B5ADFA" w14:textId="77777777" w:rsidR="00CB4EBF" w:rsidRPr="001C431F" w:rsidRDefault="00CB4EBF" w:rsidP="0054762C">
            <w:pPr>
              <w:spacing w:after="0"/>
              <w:jc w:val="both"/>
              <w:rPr>
                <w:rFonts w:cs="Times New Roman"/>
                <w:noProof/>
                <w:sz w:val="20"/>
                <w:szCs w:val="20"/>
              </w:rPr>
            </w:pPr>
          </w:p>
        </w:tc>
      </w:tr>
    </w:tbl>
    <w:p w14:paraId="307A00C2" w14:textId="77777777" w:rsidR="00CB4EBF" w:rsidRPr="001C431F" w:rsidRDefault="00CB4EBF" w:rsidP="00CB4EBF">
      <w:pPr>
        <w:spacing w:after="0"/>
        <w:jc w:val="both"/>
        <w:rPr>
          <w:rFonts w:cs="Times New Roman"/>
          <w:bCs/>
          <w:iCs/>
          <w:sz w:val="20"/>
          <w:szCs w:val="20"/>
        </w:rPr>
      </w:pPr>
    </w:p>
    <w:p w14:paraId="537BCFB1" w14:textId="77777777" w:rsidR="00CB4EBF" w:rsidRPr="001C431F" w:rsidRDefault="00CB4EBF" w:rsidP="00CB4EBF">
      <w:pPr>
        <w:spacing w:after="0"/>
        <w:jc w:val="both"/>
        <w:rPr>
          <w:rFonts w:eastAsia="Times New Roman" w:cs="Times New Roman"/>
          <w:b/>
          <w:i/>
          <w:iCs/>
          <w:noProof/>
          <w:sz w:val="20"/>
          <w:szCs w:val="20"/>
        </w:rPr>
      </w:pPr>
      <w:r>
        <w:rPr>
          <w:rFonts w:cs="Times New Roman"/>
          <w:sz w:val="20"/>
          <w:szCs w:val="20"/>
          <w:lang w:val="hr"/>
        </w:rPr>
        <w:t>Ovaj dodatak nije potreban kada se upotrebljava financiranje koje nije povezano s troškovima na razini EU-a uspostavljeno delegiranim aktom iz članka 95. stavka 4. Uredbe o zajedničkim odredbama.</w:t>
      </w:r>
    </w:p>
    <w:p w14:paraId="4FDBA280" w14:textId="77777777" w:rsidR="00CB4EBF" w:rsidRPr="001C431F" w:rsidRDefault="00CB4EBF" w:rsidP="00CB4EBF">
      <w:pPr>
        <w:spacing w:after="0"/>
        <w:jc w:val="both"/>
        <w:rPr>
          <w:rFonts w:cs="Times New Roman"/>
          <w:b/>
          <w:noProof/>
          <w:sz w:val="20"/>
          <w:szCs w:val="20"/>
          <w:u w:val="single"/>
        </w:rPr>
        <w:sectPr w:rsidR="00CB4EBF" w:rsidRPr="001C431F" w:rsidSect="007C53AF">
          <w:headerReference w:type="even" r:id="rId32"/>
          <w:headerReference w:type="default" r:id="rId33"/>
          <w:footerReference w:type="even" r:id="rId34"/>
          <w:footerReference w:type="default" r:id="rId35"/>
          <w:headerReference w:type="first" r:id="rId36"/>
          <w:footerReference w:type="first" r:id="rId37"/>
          <w:pgSz w:w="11906" w:h="16838"/>
          <w:pgMar w:top="1134" w:right="1134" w:bottom="1134" w:left="1134" w:header="567" w:footer="567" w:gutter="0"/>
          <w:cols w:space="708"/>
          <w:docGrid w:linePitch="360"/>
        </w:sectPr>
      </w:pPr>
    </w:p>
    <w:p w14:paraId="37F5E33D" w14:textId="77777777" w:rsidR="00CB4EBF" w:rsidRPr="001C431F" w:rsidRDefault="00CB4EBF" w:rsidP="00CB4EBF">
      <w:pPr>
        <w:spacing w:after="0"/>
        <w:jc w:val="both"/>
        <w:rPr>
          <w:rFonts w:cs="Times New Roman"/>
          <w:b/>
          <w:noProof/>
          <w:sz w:val="20"/>
          <w:szCs w:val="20"/>
        </w:rPr>
      </w:pPr>
      <w:r>
        <w:rPr>
          <w:rFonts w:cs="Times New Roman"/>
          <w:b/>
          <w:bCs/>
          <w:noProof/>
          <w:sz w:val="20"/>
          <w:szCs w:val="20"/>
          <w:lang w:val="hr"/>
        </w:rPr>
        <w:lastRenderedPageBreak/>
        <w:t>A.</w:t>
      </w:r>
      <w:r>
        <w:rPr>
          <w:rFonts w:cs="Times New Roman"/>
          <w:b/>
          <w:bCs/>
          <w:noProof/>
          <w:sz w:val="20"/>
          <w:szCs w:val="20"/>
          <w:lang w:val="hr"/>
        </w:rPr>
        <w:tab/>
        <w:t xml:space="preserve">Sažetak glavnih elemenata </w:t>
      </w: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846"/>
        <w:gridCol w:w="1271"/>
        <w:gridCol w:w="1394"/>
        <w:gridCol w:w="1158"/>
        <w:gridCol w:w="1321"/>
        <w:gridCol w:w="1766"/>
        <w:gridCol w:w="1579"/>
        <w:gridCol w:w="1369"/>
        <w:gridCol w:w="1783"/>
        <w:gridCol w:w="1377"/>
      </w:tblGrid>
      <w:tr w:rsidR="00CB4EBF" w:rsidRPr="00A23750" w14:paraId="7313EEA9" w14:textId="77777777" w:rsidTr="0054762C">
        <w:tc>
          <w:tcPr>
            <w:tcW w:w="289" w:type="pct"/>
          </w:tcPr>
          <w:p w14:paraId="6F1B73B9" w14:textId="77777777" w:rsidR="00CB4EBF" w:rsidRPr="001C431F" w:rsidRDefault="00CB4EBF" w:rsidP="0054762C">
            <w:pPr>
              <w:spacing w:after="0"/>
              <w:jc w:val="both"/>
              <w:rPr>
                <w:rFonts w:cs="Times New Roman"/>
                <w:b/>
                <w:noProof/>
                <w:sz w:val="20"/>
                <w:szCs w:val="20"/>
              </w:rPr>
            </w:pPr>
            <w:r>
              <w:rPr>
                <w:rFonts w:cs="Times New Roman"/>
                <w:b/>
                <w:bCs/>
                <w:noProof/>
                <w:sz w:val="20"/>
                <w:szCs w:val="20"/>
                <w:lang w:val="hr"/>
              </w:rPr>
              <w:t xml:space="preserve">Prioritet </w:t>
            </w:r>
          </w:p>
        </w:tc>
        <w:tc>
          <w:tcPr>
            <w:tcW w:w="291" w:type="pct"/>
          </w:tcPr>
          <w:p w14:paraId="0B3374E0" w14:textId="77777777" w:rsidR="00CB4EBF" w:rsidRPr="001C431F" w:rsidRDefault="00CB4EBF" w:rsidP="0054762C">
            <w:pPr>
              <w:spacing w:after="0"/>
              <w:jc w:val="both"/>
              <w:rPr>
                <w:rFonts w:cs="Times New Roman"/>
                <w:b/>
                <w:noProof/>
                <w:sz w:val="20"/>
                <w:szCs w:val="20"/>
              </w:rPr>
            </w:pPr>
            <w:r>
              <w:rPr>
                <w:rFonts w:cs="Times New Roman"/>
                <w:b/>
                <w:bCs/>
                <w:noProof/>
                <w:sz w:val="20"/>
                <w:szCs w:val="20"/>
                <w:lang w:val="hr"/>
              </w:rPr>
              <w:t>Fond</w:t>
            </w:r>
          </w:p>
        </w:tc>
        <w:tc>
          <w:tcPr>
            <w:tcW w:w="434" w:type="pct"/>
          </w:tcPr>
          <w:p w14:paraId="501761CF" w14:textId="77777777" w:rsidR="00CB4EBF" w:rsidRPr="001C431F" w:rsidRDefault="00CB4EBF" w:rsidP="0054762C">
            <w:pPr>
              <w:spacing w:after="0"/>
              <w:jc w:val="both"/>
              <w:rPr>
                <w:rFonts w:cs="Times New Roman"/>
                <w:b/>
                <w:i/>
                <w:noProof/>
                <w:sz w:val="20"/>
                <w:szCs w:val="20"/>
              </w:rPr>
            </w:pPr>
            <w:r>
              <w:rPr>
                <w:rFonts w:cs="Times New Roman"/>
                <w:b/>
                <w:bCs/>
                <w:noProof/>
                <w:sz w:val="20"/>
                <w:szCs w:val="20"/>
                <w:lang w:val="hr"/>
              </w:rPr>
              <w:t>Specifični cilj</w:t>
            </w:r>
          </w:p>
        </w:tc>
        <w:tc>
          <w:tcPr>
            <w:tcW w:w="456" w:type="pct"/>
          </w:tcPr>
          <w:p w14:paraId="2C101106" w14:textId="77777777" w:rsidR="00CB4EBF" w:rsidRPr="001C431F" w:rsidRDefault="00CB4EBF" w:rsidP="0054762C">
            <w:pPr>
              <w:spacing w:after="0"/>
              <w:jc w:val="both"/>
              <w:rPr>
                <w:rFonts w:cs="Times New Roman"/>
                <w:b/>
                <w:noProof/>
                <w:sz w:val="20"/>
                <w:szCs w:val="20"/>
              </w:rPr>
            </w:pPr>
            <w:r>
              <w:rPr>
                <w:rFonts w:cs="Times New Roman"/>
                <w:b/>
                <w:bCs/>
                <w:i/>
                <w:iCs/>
                <w:noProof/>
                <w:sz w:val="20"/>
                <w:szCs w:val="20"/>
                <w:lang w:val="hr"/>
              </w:rPr>
              <w:t>Iznos obuhvaćen financiranjem koje nije povezano s troškovima</w:t>
            </w:r>
          </w:p>
        </w:tc>
        <w:tc>
          <w:tcPr>
            <w:tcW w:w="847" w:type="pct"/>
            <w:gridSpan w:val="2"/>
            <w:shd w:val="clear" w:color="auto" w:fill="auto"/>
          </w:tcPr>
          <w:p w14:paraId="7F69F050" w14:textId="77777777" w:rsidR="00CB4EBF" w:rsidRPr="001C431F" w:rsidRDefault="00CB4EBF" w:rsidP="0054762C">
            <w:pPr>
              <w:spacing w:after="0"/>
              <w:jc w:val="both"/>
              <w:rPr>
                <w:rFonts w:cs="Times New Roman"/>
                <w:b/>
                <w:noProof/>
                <w:sz w:val="20"/>
                <w:szCs w:val="20"/>
              </w:rPr>
            </w:pPr>
            <w:r>
              <w:rPr>
                <w:rFonts w:cs="Times New Roman"/>
                <w:b/>
                <w:bCs/>
                <w:noProof/>
                <w:sz w:val="20"/>
                <w:szCs w:val="20"/>
                <w:lang w:val="hr"/>
              </w:rPr>
              <w:t>Obuhvaćena vrsta operacije / obuhvaćene vrste operacija</w:t>
            </w:r>
          </w:p>
        </w:tc>
        <w:tc>
          <w:tcPr>
            <w:tcW w:w="601" w:type="pct"/>
          </w:tcPr>
          <w:p w14:paraId="1E3524CD" w14:textId="77777777" w:rsidR="00CB4EBF" w:rsidRPr="001C431F" w:rsidRDefault="00CB4EBF" w:rsidP="0054762C">
            <w:pPr>
              <w:spacing w:after="0"/>
              <w:jc w:val="both"/>
              <w:rPr>
                <w:rFonts w:cs="Times New Roman"/>
                <w:b/>
                <w:noProof/>
                <w:sz w:val="20"/>
                <w:szCs w:val="20"/>
              </w:rPr>
            </w:pPr>
            <w:r>
              <w:rPr>
                <w:rFonts w:cs="Times New Roman"/>
                <w:b/>
                <w:bCs/>
                <w:noProof/>
                <w:sz w:val="20"/>
                <w:szCs w:val="20"/>
                <w:lang w:val="hr"/>
              </w:rPr>
              <w:t>Uvjeti koji se trebaju ispuniti / rezultati koji se trebaju ostvariti na temelju kojih Komisija vrši nadoknadu</w:t>
            </w:r>
          </w:p>
        </w:tc>
        <w:tc>
          <w:tcPr>
            <w:tcW w:w="1005" w:type="pct"/>
            <w:gridSpan w:val="2"/>
            <w:shd w:val="clear" w:color="auto" w:fill="auto"/>
          </w:tcPr>
          <w:p w14:paraId="77D18A23" w14:textId="77777777" w:rsidR="00CB4EBF" w:rsidRPr="001C431F" w:rsidRDefault="00CB4EBF" w:rsidP="0054762C">
            <w:pPr>
              <w:spacing w:after="0"/>
              <w:jc w:val="both"/>
              <w:rPr>
                <w:rFonts w:cs="Times New Roman"/>
                <w:b/>
                <w:noProof/>
                <w:sz w:val="20"/>
                <w:szCs w:val="20"/>
              </w:rPr>
            </w:pPr>
            <w:r>
              <w:rPr>
                <w:rFonts w:cs="Times New Roman"/>
                <w:b/>
                <w:bCs/>
                <w:noProof/>
                <w:sz w:val="20"/>
                <w:szCs w:val="20"/>
                <w:lang w:val="hr"/>
              </w:rPr>
              <w:t xml:space="preserve">pokazatelj </w:t>
            </w:r>
          </w:p>
        </w:tc>
        <w:tc>
          <w:tcPr>
            <w:tcW w:w="607" w:type="pct"/>
            <w:shd w:val="clear" w:color="auto" w:fill="auto"/>
          </w:tcPr>
          <w:p w14:paraId="3CAD4D5D" w14:textId="77777777" w:rsidR="00CB4EBF" w:rsidRPr="001C431F" w:rsidRDefault="00CB4EBF" w:rsidP="0054762C">
            <w:pPr>
              <w:spacing w:after="0"/>
              <w:jc w:val="both"/>
              <w:rPr>
                <w:rFonts w:cs="Times New Roman"/>
                <w:b/>
                <w:noProof/>
                <w:sz w:val="20"/>
                <w:szCs w:val="20"/>
              </w:rPr>
            </w:pPr>
            <w:r>
              <w:rPr>
                <w:rFonts w:cs="Times New Roman"/>
                <w:b/>
                <w:bCs/>
                <w:noProof/>
                <w:sz w:val="20"/>
                <w:szCs w:val="20"/>
                <w:lang w:val="hr"/>
              </w:rPr>
              <w:t xml:space="preserve">Mjerna jedinica za </w:t>
            </w:r>
            <w:r>
              <w:rPr>
                <w:rFonts w:cs="Times New Roman"/>
                <w:b/>
                <w:bCs/>
                <w:noProof/>
                <w:sz w:val="20"/>
                <w:szCs w:val="20"/>
                <w:u w:val="single"/>
                <w:lang w:val="hr"/>
              </w:rPr>
              <w:t>uvjete koji se trebaju ispuniti / rezultate koji se trebaju ostvariti</w:t>
            </w:r>
            <w:r>
              <w:rPr>
                <w:rFonts w:cs="Times New Roman"/>
                <w:b/>
                <w:bCs/>
                <w:sz w:val="20"/>
                <w:szCs w:val="20"/>
                <w:u w:val="single"/>
                <w:lang w:val="hr"/>
              </w:rPr>
              <w:t xml:space="preserve"> </w:t>
            </w:r>
            <w:r>
              <w:rPr>
                <w:rFonts w:cs="Times New Roman"/>
                <w:b/>
                <w:bCs/>
                <w:noProof/>
                <w:sz w:val="20"/>
                <w:szCs w:val="20"/>
                <w:u w:val="single"/>
                <w:lang w:val="hr"/>
              </w:rPr>
              <w:t xml:space="preserve">na temelju kojih Komisija vrši nadoknadu </w:t>
            </w:r>
          </w:p>
        </w:tc>
        <w:tc>
          <w:tcPr>
            <w:tcW w:w="471" w:type="pct"/>
          </w:tcPr>
          <w:p w14:paraId="5F7DAAF2" w14:textId="77777777" w:rsidR="00CB4EBF" w:rsidRPr="001C431F" w:rsidRDefault="00CB4EBF" w:rsidP="0054762C">
            <w:pPr>
              <w:spacing w:after="0"/>
              <w:jc w:val="both"/>
              <w:rPr>
                <w:rFonts w:cs="Times New Roman"/>
                <w:b/>
                <w:noProof/>
                <w:sz w:val="20"/>
                <w:szCs w:val="20"/>
                <w:u w:val="single"/>
              </w:rPr>
            </w:pPr>
            <w:r>
              <w:rPr>
                <w:rFonts w:cs="Times New Roman"/>
                <w:b/>
                <w:bCs/>
                <w:sz w:val="20"/>
                <w:szCs w:val="20"/>
                <w:lang w:val="hr"/>
              </w:rPr>
              <w:t>Predviđena vrsta metode nadoknade koja se upotrebljava radi nadoknade korisniku ili korisnicima</w:t>
            </w:r>
          </w:p>
        </w:tc>
      </w:tr>
      <w:tr w:rsidR="00CB4EBF" w:rsidRPr="00A23750" w14:paraId="66D28658" w14:textId="77777777" w:rsidTr="0054762C">
        <w:tc>
          <w:tcPr>
            <w:tcW w:w="289" w:type="pct"/>
          </w:tcPr>
          <w:p w14:paraId="5EB7C70C" w14:textId="77777777" w:rsidR="00CB4EBF" w:rsidRPr="001C431F" w:rsidRDefault="00CB4EBF" w:rsidP="0054762C">
            <w:pPr>
              <w:spacing w:after="0"/>
              <w:jc w:val="both"/>
              <w:rPr>
                <w:rFonts w:cs="Times New Roman"/>
                <w:noProof/>
                <w:color w:val="7F7F7F"/>
                <w:sz w:val="20"/>
                <w:szCs w:val="20"/>
              </w:rPr>
            </w:pPr>
          </w:p>
        </w:tc>
        <w:tc>
          <w:tcPr>
            <w:tcW w:w="291" w:type="pct"/>
          </w:tcPr>
          <w:p w14:paraId="4B5C08BA" w14:textId="77777777" w:rsidR="00CB4EBF" w:rsidRPr="001C431F" w:rsidRDefault="00CB4EBF" w:rsidP="0054762C">
            <w:pPr>
              <w:spacing w:after="0"/>
              <w:jc w:val="both"/>
              <w:rPr>
                <w:rFonts w:cs="Times New Roman"/>
                <w:noProof/>
                <w:color w:val="7F7F7F"/>
                <w:sz w:val="20"/>
                <w:szCs w:val="20"/>
              </w:rPr>
            </w:pPr>
          </w:p>
        </w:tc>
        <w:tc>
          <w:tcPr>
            <w:tcW w:w="434" w:type="pct"/>
          </w:tcPr>
          <w:p w14:paraId="24C79A98" w14:textId="77777777" w:rsidR="00CB4EBF" w:rsidRPr="001C431F" w:rsidRDefault="00CB4EBF" w:rsidP="0054762C">
            <w:pPr>
              <w:spacing w:after="0"/>
              <w:jc w:val="both"/>
              <w:rPr>
                <w:rFonts w:cs="Times New Roman"/>
                <w:noProof/>
                <w:color w:val="7F7F7F"/>
                <w:sz w:val="20"/>
                <w:szCs w:val="20"/>
              </w:rPr>
            </w:pPr>
          </w:p>
        </w:tc>
        <w:tc>
          <w:tcPr>
            <w:tcW w:w="456" w:type="pct"/>
          </w:tcPr>
          <w:p w14:paraId="18827696" w14:textId="77777777" w:rsidR="00CB4EBF" w:rsidRPr="001C431F" w:rsidRDefault="00CB4EBF" w:rsidP="0054762C">
            <w:pPr>
              <w:spacing w:after="0"/>
              <w:jc w:val="both"/>
              <w:rPr>
                <w:rFonts w:cs="Times New Roman"/>
                <w:noProof/>
                <w:color w:val="7F7F7F"/>
                <w:sz w:val="20"/>
                <w:szCs w:val="20"/>
              </w:rPr>
            </w:pPr>
          </w:p>
        </w:tc>
        <w:tc>
          <w:tcPr>
            <w:tcW w:w="396" w:type="pct"/>
            <w:shd w:val="clear" w:color="auto" w:fill="auto"/>
          </w:tcPr>
          <w:p w14:paraId="600C2943" w14:textId="77777777" w:rsidR="00CB4EBF" w:rsidRPr="001C431F" w:rsidRDefault="00CB4EBF" w:rsidP="0054762C">
            <w:pPr>
              <w:spacing w:after="0"/>
              <w:jc w:val="both"/>
              <w:rPr>
                <w:rFonts w:cs="Times New Roman"/>
                <w:b/>
                <w:noProof/>
                <w:sz w:val="20"/>
                <w:szCs w:val="20"/>
              </w:rPr>
            </w:pPr>
            <w:r>
              <w:rPr>
                <w:rFonts w:cs="Times New Roman"/>
                <w:b/>
                <w:bCs/>
                <w:noProof/>
                <w:sz w:val="20"/>
                <w:szCs w:val="20"/>
                <w:u w:val="single"/>
                <w:lang w:val="hr"/>
              </w:rPr>
              <w:t>Oznaka</w:t>
            </w:r>
            <w:r>
              <w:rPr>
                <w:rStyle w:val="FootnoteReference"/>
                <w:rFonts w:cs="Times New Roman"/>
                <w:b/>
                <w:bCs/>
                <w:noProof/>
                <w:sz w:val="20"/>
                <w:szCs w:val="20"/>
                <w:lang w:val="hr"/>
              </w:rPr>
              <w:footnoteReference w:customMarkFollows="1" w:id="14"/>
              <w:t xml:space="preserve"> </w:t>
            </w:r>
            <w:r>
              <w:rPr>
                <w:rStyle w:val="FootnoteReference"/>
                <w:rFonts w:cs="Times New Roman"/>
                <w:noProof/>
                <w:sz w:val="20"/>
                <w:szCs w:val="20"/>
                <w:vertAlign w:val="baseline"/>
                <w:lang w:val="hr"/>
              </w:rPr>
              <w:sym w:font="Symbol" w:char="F028"/>
            </w:r>
            <w:r>
              <w:rPr>
                <w:rStyle w:val="FootnoteReference"/>
                <w:rFonts w:cs="Times New Roman"/>
                <w:noProof/>
                <w:sz w:val="20"/>
                <w:szCs w:val="20"/>
                <w:vertAlign w:val="baseline"/>
                <w:lang w:val="hr"/>
              </w:rPr>
              <w:sym w:font="Symbol" w:char="F031"/>
            </w:r>
            <w:r>
              <w:rPr>
                <w:rStyle w:val="FootnoteReference"/>
                <w:rFonts w:cs="Times New Roman"/>
                <w:noProof/>
                <w:sz w:val="20"/>
                <w:szCs w:val="20"/>
                <w:vertAlign w:val="baseline"/>
                <w:lang w:val="hr"/>
              </w:rPr>
              <w:sym w:font="Symbol" w:char="F029"/>
            </w:r>
          </w:p>
          <w:p w14:paraId="4D97E833" w14:textId="77777777" w:rsidR="00CB4EBF" w:rsidRPr="001C431F" w:rsidRDefault="00CB4EBF" w:rsidP="0054762C">
            <w:pPr>
              <w:spacing w:after="0"/>
              <w:jc w:val="both"/>
              <w:rPr>
                <w:rFonts w:cs="Times New Roman"/>
                <w:noProof/>
                <w:sz w:val="20"/>
                <w:szCs w:val="20"/>
              </w:rPr>
            </w:pPr>
          </w:p>
        </w:tc>
        <w:tc>
          <w:tcPr>
            <w:tcW w:w="451" w:type="pct"/>
            <w:shd w:val="clear" w:color="auto" w:fill="auto"/>
          </w:tcPr>
          <w:p w14:paraId="57B3C5D7" w14:textId="77777777" w:rsidR="00CB4EBF" w:rsidRPr="001C431F" w:rsidRDefault="00CB4EBF" w:rsidP="0054762C">
            <w:pPr>
              <w:spacing w:after="0"/>
              <w:jc w:val="both"/>
              <w:rPr>
                <w:rFonts w:cs="Times New Roman"/>
                <w:noProof/>
                <w:sz w:val="20"/>
                <w:szCs w:val="20"/>
              </w:rPr>
            </w:pPr>
            <w:r>
              <w:rPr>
                <w:rFonts w:cs="Times New Roman"/>
                <w:noProof/>
                <w:sz w:val="20"/>
                <w:szCs w:val="20"/>
                <w:lang w:val="hr"/>
              </w:rPr>
              <w:t>Opis</w:t>
            </w:r>
          </w:p>
        </w:tc>
        <w:tc>
          <w:tcPr>
            <w:tcW w:w="601" w:type="pct"/>
          </w:tcPr>
          <w:p w14:paraId="26B9B6BA" w14:textId="77777777" w:rsidR="00CB4EBF" w:rsidRPr="001C431F" w:rsidRDefault="00CB4EBF" w:rsidP="0054762C">
            <w:pPr>
              <w:spacing w:after="0"/>
              <w:jc w:val="both"/>
              <w:rPr>
                <w:rFonts w:cs="Times New Roman"/>
                <w:noProof/>
                <w:sz w:val="20"/>
                <w:szCs w:val="20"/>
              </w:rPr>
            </w:pPr>
          </w:p>
        </w:tc>
        <w:tc>
          <w:tcPr>
            <w:tcW w:w="538" w:type="pct"/>
            <w:shd w:val="clear" w:color="auto" w:fill="auto"/>
          </w:tcPr>
          <w:p w14:paraId="3DA3CD72" w14:textId="77777777" w:rsidR="00CB4EBF" w:rsidRPr="001C431F" w:rsidRDefault="00CB4EBF" w:rsidP="0054762C">
            <w:pPr>
              <w:spacing w:after="0"/>
              <w:jc w:val="both"/>
              <w:rPr>
                <w:rFonts w:cs="Times New Roman"/>
                <w:noProof/>
                <w:sz w:val="20"/>
                <w:szCs w:val="20"/>
              </w:rPr>
            </w:pPr>
            <w:r>
              <w:rPr>
                <w:rFonts w:cs="Times New Roman"/>
                <w:noProof/>
                <w:sz w:val="20"/>
                <w:szCs w:val="20"/>
                <w:lang w:val="hr"/>
              </w:rPr>
              <w:t>Oznaka</w:t>
            </w:r>
            <w:r>
              <w:rPr>
                <w:rStyle w:val="FootnoteReference"/>
                <w:rFonts w:cs="Times New Roman"/>
                <w:noProof/>
                <w:sz w:val="20"/>
                <w:szCs w:val="20"/>
                <w:lang w:val="hr"/>
              </w:rPr>
              <w:footnoteReference w:customMarkFollows="1" w:id="15"/>
              <w:t xml:space="preserve"> </w:t>
            </w:r>
            <w:r>
              <w:rPr>
                <w:rStyle w:val="FootnoteReference"/>
                <w:rFonts w:cs="Times New Roman"/>
                <w:noProof/>
                <w:sz w:val="20"/>
                <w:szCs w:val="20"/>
                <w:vertAlign w:val="baseline"/>
                <w:lang w:val="hr"/>
              </w:rPr>
              <w:sym w:font="Symbol" w:char="F028"/>
            </w:r>
            <w:r>
              <w:rPr>
                <w:rStyle w:val="FootnoteReference"/>
                <w:rFonts w:cs="Times New Roman"/>
                <w:noProof/>
                <w:sz w:val="20"/>
                <w:szCs w:val="20"/>
                <w:vertAlign w:val="baseline"/>
                <w:lang w:val="hr"/>
              </w:rPr>
              <w:sym w:font="Symbol" w:char="F032"/>
            </w:r>
            <w:r>
              <w:rPr>
                <w:rStyle w:val="FootnoteReference"/>
                <w:rFonts w:cs="Times New Roman"/>
                <w:noProof/>
                <w:sz w:val="20"/>
                <w:szCs w:val="20"/>
                <w:vertAlign w:val="baseline"/>
                <w:lang w:val="hr"/>
              </w:rPr>
              <w:sym w:font="Symbol" w:char="F029"/>
            </w:r>
          </w:p>
        </w:tc>
        <w:tc>
          <w:tcPr>
            <w:tcW w:w="467" w:type="pct"/>
          </w:tcPr>
          <w:p w14:paraId="500D5A04" w14:textId="77777777" w:rsidR="00CB4EBF" w:rsidRPr="001C431F" w:rsidRDefault="00CB4EBF" w:rsidP="0054762C">
            <w:pPr>
              <w:spacing w:after="0"/>
              <w:jc w:val="both"/>
              <w:rPr>
                <w:rFonts w:cs="Times New Roman"/>
                <w:noProof/>
                <w:sz w:val="20"/>
                <w:szCs w:val="20"/>
              </w:rPr>
            </w:pPr>
            <w:r>
              <w:rPr>
                <w:rFonts w:cs="Times New Roman"/>
                <w:noProof/>
                <w:sz w:val="20"/>
                <w:szCs w:val="20"/>
                <w:lang w:val="hr"/>
              </w:rPr>
              <w:t>Opis</w:t>
            </w:r>
          </w:p>
        </w:tc>
        <w:tc>
          <w:tcPr>
            <w:tcW w:w="607" w:type="pct"/>
          </w:tcPr>
          <w:p w14:paraId="2B432FDC" w14:textId="77777777" w:rsidR="00CB4EBF" w:rsidRPr="001C431F" w:rsidRDefault="00CB4EBF" w:rsidP="0054762C">
            <w:pPr>
              <w:spacing w:after="0"/>
              <w:jc w:val="both"/>
              <w:rPr>
                <w:rFonts w:cs="Times New Roman"/>
                <w:noProof/>
                <w:sz w:val="20"/>
                <w:szCs w:val="20"/>
              </w:rPr>
            </w:pPr>
          </w:p>
        </w:tc>
        <w:tc>
          <w:tcPr>
            <w:tcW w:w="471" w:type="pct"/>
            <w:shd w:val="clear" w:color="auto" w:fill="auto"/>
          </w:tcPr>
          <w:p w14:paraId="4B8FCDAF" w14:textId="77777777" w:rsidR="00CB4EBF" w:rsidRPr="001C431F" w:rsidRDefault="00CB4EBF" w:rsidP="0054762C">
            <w:pPr>
              <w:spacing w:after="0"/>
              <w:jc w:val="both"/>
              <w:rPr>
                <w:rFonts w:cs="Times New Roman"/>
                <w:noProof/>
                <w:sz w:val="20"/>
                <w:szCs w:val="20"/>
              </w:rPr>
            </w:pPr>
          </w:p>
        </w:tc>
      </w:tr>
      <w:tr w:rsidR="00CB4EBF" w:rsidRPr="00A23750" w14:paraId="1852F60C" w14:textId="77777777" w:rsidTr="0054762C">
        <w:tc>
          <w:tcPr>
            <w:tcW w:w="289" w:type="pct"/>
          </w:tcPr>
          <w:p w14:paraId="3578BAA8" w14:textId="77777777" w:rsidR="00CB4EBF" w:rsidRPr="001C431F" w:rsidRDefault="00CB4EBF" w:rsidP="0054762C">
            <w:pPr>
              <w:spacing w:after="0"/>
              <w:jc w:val="both"/>
              <w:rPr>
                <w:rFonts w:cs="Times New Roman"/>
                <w:b/>
                <w:i/>
                <w:noProof/>
                <w:color w:val="7F7F7F"/>
                <w:sz w:val="20"/>
                <w:szCs w:val="20"/>
              </w:rPr>
            </w:pPr>
          </w:p>
        </w:tc>
        <w:tc>
          <w:tcPr>
            <w:tcW w:w="291" w:type="pct"/>
          </w:tcPr>
          <w:p w14:paraId="739D8CF4" w14:textId="77777777" w:rsidR="00CB4EBF" w:rsidRPr="001C431F" w:rsidRDefault="00CB4EBF" w:rsidP="0054762C">
            <w:pPr>
              <w:spacing w:after="0"/>
              <w:jc w:val="both"/>
              <w:rPr>
                <w:rFonts w:cs="Times New Roman"/>
                <w:b/>
                <w:i/>
                <w:noProof/>
                <w:color w:val="7F7F7F"/>
                <w:sz w:val="20"/>
                <w:szCs w:val="20"/>
              </w:rPr>
            </w:pPr>
          </w:p>
        </w:tc>
        <w:tc>
          <w:tcPr>
            <w:tcW w:w="434" w:type="pct"/>
          </w:tcPr>
          <w:p w14:paraId="7E35693E" w14:textId="77777777" w:rsidR="00CB4EBF" w:rsidRPr="001C431F" w:rsidRDefault="00CB4EBF" w:rsidP="0054762C">
            <w:pPr>
              <w:spacing w:after="0"/>
              <w:jc w:val="both"/>
              <w:rPr>
                <w:rFonts w:cs="Times New Roman"/>
                <w:b/>
                <w:i/>
                <w:noProof/>
                <w:color w:val="7F7F7F"/>
                <w:sz w:val="20"/>
                <w:szCs w:val="20"/>
              </w:rPr>
            </w:pPr>
          </w:p>
        </w:tc>
        <w:tc>
          <w:tcPr>
            <w:tcW w:w="456" w:type="pct"/>
          </w:tcPr>
          <w:p w14:paraId="6213726C" w14:textId="77777777" w:rsidR="00CB4EBF" w:rsidRPr="001C431F" w:rsidRDefault="00CB4EBF" w:rsidP="0054762C">
            <w:pPr>
              <w:spacing w:after="0"/>
              <w:jc w:val="both"/>
              <w:rPr>
                <w:rFonts w:cs="Times New Roman"/>
                <w:b/>
                <w:i/>
                <w:noProof/>
                <w:color w:val="7F7F7F"/>
                <w:sz w:val="20"/>
                <w:szCs w:val="20"/>
              </w:rPr>
            </w:pPr>
          </w:p>
        </w:tc>
        <w:tc>
          <w:tcPr>
            <w:tcW w:w="396" w:type="pct"/>
            <w:shd w:val="clear" w:color="auto" w:fill="auto"/>
          </w:tcPr>
          <w:p w14:paraId="1F197FAA" w14:textId="77777777" w:rsidR="00CB4EBF" w:rsidRPr="001C431F" w:rsidRDefault="00CB4EBF" w:rsidP="0054762C">
            <w:pPr>
              <w:spacing w:after="0"/>
              <w:jc w:val="both"/>
              <w:rPr>
                <w:rFonts w:cs="Times New Roman"/>
                <w:i/>
                <w:noProof/>
                <w:color w:val="7F7F7F"/>
                <w:sz w:val="20"/>
                <w:szCs w:val="20"/>
              </w:rPr>
            </w:pPr>
          </w:p>
        </w:tc>
        <w:tc>
          <w:tcPr>
            <w:tcW w:w="451" w:type="pct"/>
            <w:shd w:val="clear" w:color="auto" w:fill="auto"/>
          </w:tcPr>
          <w:p w14:paraId="30435BD9" w14:textId="77777777" w:rsidR="00CB4EBF" w:rsidRPr="001C431F" w:rsidRDefault="00CB4EBF" w:rsidP="0054762C">
            <w:pPr>
              <w:spacing w:after="0"/>
              <w:jc w:val="both"/>
              <w:rPr>
                <w:rFonts w:cs="Times New Roman"/>
                <w:i/>
                <w:noProof/>
                <w:color w:val="7F7F7F"/>
                <w:sz w:val="20"/>
                <w:szCs w:val="20"/>
              </w:rPr>
            </w:pPr>
          </w:p>
        </w:tc>
        <w:tc>
          <w:tcPr>
            <w:tcW w:w="601" w:type="pct"/>
          </w:tcPr>
          <w:p w14:paraId="23276B6D" w14:textId="77777777" w:rsidR="00CB4EBF" w:rsidRPr="001C431F" w:rsidRDefault="00CB4EBF" w:rsidP="0054762C">
            <w:pPr>
              <w:spacing w:after="0"/>
              <w:jc w:val="both"/>
              <w:rPr>
                <w:rFonts w:cs="Times New Roman"/>
                <w:i/>
                <w:noProof/>
                <w:color w:val="7F7F7F"/>
                <w:sz w:val="20"/>
                <w:szCs w:val="20"/>
              </w:rPr>
            </w:pPr>
          </w:p>
        </w:tc>
        <w:tc>
          <w:tcPr>
            <w:tcW w:w="538" w:type="pct"/>
            <w:shd w:val="clear" w:color="auto" w:fill="auto"/>
          </w:tcPr>
          <w:p w14:paraId="3A50F509" w14:textId="77777777" w:rsidR="00CB4EBF" w:rsidRPr="001C431F" w:rsidRDefault="00CB4EBF" w:rsidP="0054762C">
            <w:pPr>
              <w:spacing w:after="0"/>
              <w:jc w:val="both"/>
              <w:rPr>
                <w:rFonts w:cs="Times New Roman"/>
                <w:i/>
                <w:noProof/>
                <w:color w:val="7F7F7F"/>
                <w:sz w:val="20"/>
                <w:szCs w:val="20"/>
              </w:rPr>
            </w:pPr>
          </w:p>
        </w:tc>
        <w:tc>
          <w:tcPr>
            <w:tcW w:w="467" w:type="pct"/>
          </w:tcPr>
          <w:p w14:paraId="4ED53C33" w14:textId="77777777" w:rsidR="00CB4EBF" w:rsidRPr="001C431F" w:rsidRDefault="00CB4EBF" w:rsidP="0054762C">
            <w:pPr>
              <w:spacing w:after="0"/>
              <w:jc w:val="both"/>
              <w:rPr>
                <w:rFonts w:cs="Times New Roman"/>
                <w:i/>
                <w:noProof/>
                <w:color w:val="7F7F7F"/>
                <w:sz w:val="20"/>
                <w:szCs w:val="20"/>
              </w:rPr>
            </w:pPr>
          </w:p>
        </w:tc>
        <w:tc>
          <w:tcPr>
            <w:tcW w:w="607" w:type="pct"/>
          </w:tcPr>
          <w:p w14:paraId="657359E0" w14:textId="77777777" w:rsidR="00CB4EBF" w:rsidRPr="001C431F" w:rsidRDefault="00CB4EBF" w:rsidP="0054762C">
            <w:pPr>
              <w:spacing w:after="0"/>
              <w:jc w:val="both"/>
              <w:rPr>
                <w:rFonts w:cs="Times New Roman"/>
                <w:i/>
                <w:noProof/>
                <w:color w:val="7F7F7F"/>
                <w:sz w:val="20"/>
                <w:szCs w:val="20"/>
              </w:rPr>
            </w:pPr>
          </w:p>
        </w:tc>
        <w:tc>
          <w:tcPr>
            <w:tcW w:w="471" w:type="pct"/>
            <w:shd w:val="clear" w:color="auto" w:fill="auto"/>
          </w:tcPr>
          <w:p w14:paraId="154BCF0E" w14:textId="77777777" w:rsidR="00CB4EBF" w:rsidRPr="001C431F" w:rsidRDefault="00CB4EBF" w:rsidP="0054762C">
            <w:pPr>
              <w:spacing w:after="0"/>
              <w:jc w:val="both"/>
              <w:rPr>
                <w:rFonts w:cs="Times New Roman"/>
                <w:i/>
                <w:noProof/>
                <w:color w:val="7F7F7F"/>
                <w:sz w:val="20"/>
                <w:szCs w:val="20"/>
              </w:rPr>
            </w:pPr>
          </w:p>
        </w:tc>
      </w:tr>
      <w:tr w:rsidR="00CB4EBF" w:rsidRPr="00A23750" w14:paraId="3A072FD5" w14:textId="77777777" w:rsidTr="0054762C">
        <w:tc>
          <w:tcPr>
            <w:tcW w:w="289" w:type="pct"/>
          </w:tcPr>
          <w:p w14:paraId="41B5F969" w14:textId="77777777" w:rsidR="00CB4EBF" w:rsidRPr="001C431F" w:rsidRDefault="00CB4EBF" w:rsidP="0054762C">
            <w:pPr>
              <w:spacing w:after="0"/>
              <w:jc w:val="both"/>
              <w:rPr>
                <w:rFonts w:cs="Times New Roman"/>
                <w:b/>
                <w:i/>
                <w:noProof/>
                <w:color w:val="7F7F7F"/>
                <w:sz w:val="20"/>
                <w:szCs w:val="20"/>
              </w:rPr>
            </w:pPr>
          </w:p>
        </w:tc>
        <w:tc>
          <w:tcPr>
            <w:tcW w:w="291" w:type="pct"/>
          </w:tcPr>
          <w:p w14:paraId="7D2DFCD2" w14:textId="77777777" w:rsidR="00CB4EBF" w:rsidRPr="001C431F" w:rsidRDefault="00CB4EBF" w:rsidP="0054762C">
            <w:pPr>
              <w:spacing w:after="0"/>
              <w:jc w:val="both"/>
              <w:rPr>
                <w:rFonts w:cs="Times New Roman"/>
                <w:b/>
                <w:i/>
                <w:noProof/>
                <w:color w:val="7F7F7F"/>
                <w:sz w:val="20"/>
                <w:szCs w:val="20"/>
              </w:rPr>
            </w:pPr>
          </w:p>
        </w:tc>
        <w:tc>
          <w:tcPr>
            <w:tcW w:w="434" w:type="pct"/>
          </w:tcPr>
          <w:p w14:paraId="6848EFA9" w14:textId="77777777" w:rsidR="00CB4EBF" w:rsidRPr="001C431F" w:rsidRDefault="00CB4EBF" w:rsidP="0054762C">
            <w:pPr>
              <w:spacing w:after="0"/>
              <w:jc w:val="both"/>
              <w:rPr>
                <w:rFonts w:cs="Times New Roman"/>
                <w:b/>
                <w:i/>
                <w:noProof/>
                <w:color w:val="7F7F7F"/>
                <w:sz w:val="20"/>
                <w:szCs w:val="20"/>
              </w:rPr>
            </w:pPr>
          </w:p>
        </w:tc>
        <w:tc>
          <w:tcPr>
            <w:tcW w:w="456" w:type="pct"/>
          </w:tcPr>
          <w:p w14:paraId="511F0B79" w14:textId="77777777" w:rsidR="00CB4EBF" w:rsidRPr="001C431F" w:rsidRDefault="00CB4EBF" w:rsidP="0054762C">
            <w:pPr>
              <w:spacing w:after="0"/>
              <w:jc w:val="both"/>
              <w:rPr>
                <w:rFonts w:cs="Times New Roman"/>
                <w:b/>
                <w:i/>
                <w:noProof/>
                <w:color w:val="7F7F7F"/>
                <w:sz w:val="20"/>
                <w:szCs w:val="20"/>
              </w:rPr>
            </w:pPr>
          </w:p>
        </w:tc>
        <w:tc>
          <w:tcPr>
            <w:tcW w:w="396" w:type="pct"/>
            <w:shd w:val="clear" w:color="auto" w:fill="auto"/>
          </w:tcPr>
          <w:p w14:paraId="2F07FC12" w14:textId="77777777" w:rsidR="00CB4EBF" w:rsidRPr="001C431F" w:rsidRDefault="00CB4EBF" w:rsidP="0054762C">
            <w:pPr>
              <w:spacing w:after="0"/>
              <w:jc w:val="both"/>
              <w:rPr>
                <w:rFonts w:cs="Times New Roman"/>
                <w:i/>
                <w:noProof/>
                <w:color w:val="7F7F7F"/>
                <w:sz w:val="20"/>
                <w:szCs w:val="20"/>
              </w:rPr>
            </w:pPr>
          </w:p>
        </w:tc>
        <w:tc>
          <w:tcPr>
            <w:tcW w:w="451" w:type="pct"/>
            <w:shd w:val="clear" w:color="auto" w:fill="auto"/>
          </w:tcPr>
          <w:p w14:paraId="605E1395" w14:textId="77777777" w:rsidR="00CB4EBF" w:rsidRPr="001C431F" w:rsidRDefault="00CB4EBF" w:rsidP="0054762C">
            <w:pPr>
              <w:spacing w:after="0"/>
              <w:jc w:val="both"/>
              <w:rPr>
                <w:rFonts w:cs="Times New Roman"/>
                <w:i/>
                <w:noProof/>
                <w:color w:val="7F7F7F"/>
                <w:sz w:val="20"/>
                <w:szCs w:val="20"/>
              </w:rPr>
            </w:pPr>
          </w:p>
        </w:tc>
        <w:tc>
          <w:tcPr>
            <w:tcW w:w="601" w:type="pct"/>
          </w:tcPr>
          <w:p w14:paraId="14221B31" w14:textId="77777777" w:rsidR="00CB4EBF" w:rsidRPr="001C431F" w:rsidRDefault="00CB4EBF" w:rsidP="0054762C">
            <w:pPr>
              <w:spacing w:after="0"/>
              <w:jc w:val="both"/>
              <w:rPr>
                <w:rFonts w:cs="Times New Roman"/>
                <w:i/>
                <w:noProof/>
                <w:color w:val="7F7F7F"/>
                <w:sz w:val="20"/>
                <w:szCs w:val="20"/>
              </w:rPr>
            </w:pPr>
          </w:p>
        </w:tc>
        <w:tc>
          <w:tcPr>
            <w:tcW w:w="538" w:type="pct"/>
            <w:shd w:val="clear" w:color="auto" w:fill="auto"/>
          </w:tcPr>
          <w:p w14:paraId="7B79D507" w14:textId="77777777" w:rsidR="00CB4EBF" w:rsidRPr="001C431F" w:rsidRDefault="00CB4EBF" w:rsidP="0054762C">
            <w:pPr>
              <w:spacing w:after="0"/>
              <w:jc w:val="both"/>
              <w:rPr>
                <w:rFonts w:cs="Times New Roman"/>
                <w:i/>
                <w:noProof/>
                <w:color w:val="7F7F7F"/>
                <w:sz w:val="20"/>
                <w:szCs w:val="20"/>
              </w:rPr>
            </w:pPr>
          </w:p>
        </w:tc>
        <w:tc>
          <w:tcPr>
            <w:tcW w:w="467" w:type="pct"/>
          </w:tcPr>
          <w:p w14:paraId="0BEE7085" w14:textId="77777777" w:rsidR="00CB4EBF" w:rsidRPr="001C431F" w:rsidRDefault="00CB4EBF" w:rsidP="0054762C">
            <w:pPr>
              <w:spacing w:after="0"/>
              <w:jc w:val="both"/>
              <w:rPr>
                <w:rFonts w:cs="Times New Roman"/>
                <w:i/>
                <w:noProof/>
                <w:color w:val="7F7F7F"/>
                <w:sz w:val="20"/>
                <w:szCs w:val="20"/>
              </w:rPr>
            </w:pPr>
          </w:p>
        </w:tc>
        <w:tc>
          <w:tcPr>
            <w:tcW w:w="607" w:type="pct"/>
          </w:tcPr>
          <w:p w14:paraId="555F6546" w14:textId="77777777" w:rsidR="00CB4EBF" w:rsidRPr="001C431F" w:rsidRDefault="00CB4EBF" w:rsidP="0054762C">
            <w:pPr>
              <w:spacing w:after="0"/>
              <w:jc w:val="both"/>
              <w:rPr>
                <w:rFonts w:cs="Times New Roman"/>
                <w:i/>
                <w:noProof/>
                <w:color w:val="7F7F7F"/>
                <w:sz w:val="20"/>
                <w:szCs w:val="20"/>
              </w:rPr>
            </w:pPr>
          </w:p>
        </w:tc>
        <w:tc>
          <w:tcPr>
            <w:tcW w:w="471" w:type="pct"/>
            <w:shd w:val="clear" w:color="auto" w:fill="auto"/>
          </w:tcPr>
          <w:p w14:paraId="47BD08CB" w14:textId="77777777" w:rsidR="00CB4EBF" w:rsidRPr="001C431F" w:rsidRDefault="00CB4EBF" w:rsidP="0054762C">
            <w:pPr>
              <w:spacing w:after="0"/>
              <w:jc w:val="both"/>
              <w:rPr>
                <w:rFonts w:cs="Times New Roman"/>
                <w:i/>
                <w:noProof/>
                <w:color w:val="7F7F7F"/>
                <w:sz w:val="20"/>
                <w:szCs w:val="20"/>
              </w:rPr>
            </w:pPr>
          </w:p>
        </w:tc>
      </w:tr>
      <w:tr w:rsidR="00CB4EBF" w:rsidRPr="00A23750" w14:paraId="3322BB0A" w14:textId="77777777" w:rsidTr="0054762C">
        <w:tc>
          <w:tcPr>
            <w:tcW w:w="289" w:type="pct"/>
          </w:tcPr>
          <w:p w14:paraId="40C2E149" w14:textId="77777777" w:rsidR="00CB4EBF" w:rsidRPr="001C431F" w:rsidRDefault="00CB4EBF" w:rsidP="0054762C">
            <w:pPr>
              <w:spacing w:after="0"/>
              <w:jc w:val="both"/>
              <w:rPr>
                <w:rFonts w:cs="Times New Roman"/>
                <w:noProof/>
                <w:sz w:val="20"/>
                <w:szCs w:val="20"/>
              </w:rPr>
            </w:pPr>
          </w:p>
        </w:tc>
        <w:tc>
          <w:tcPr>
            <w:tcW w:w="291" w:type="pct"/>
          </w:tcPr>
          <w:p w14:paraId="0F497E5F" w14:textId="77777777" w:rsidR="00CB4EBF" w:rsidRPr="001C431F" w:rsidRDefault="00CB4EBF" w:rsidP="0054762C">
            <w:pPr>
              <w:spacing w:after="0"/>
              <w:jc w:val="both"/>
              <w:rPr>
                <w:rFonts w:cs="Times New Roman"/>
                <w:noProof/>
                <w:sz w:val="20"/>
                <w:szCs w:val="20"/>
              </w:rPr>
            </w:pPr>
          </w:p>
        </w:tc>
        <w:tc>
          <w:tcPr>
            <w:tcW w:w="434" w:type="pct"/>
          </w:tcPr>
          <w:p w14:paraId="1181B59E" w14:textId="77777777" w:rsidR="00CB4EBF" w:rsidRPr="001C431F" w:rsidRDefault="00CB4EBF" w:rsidP="0054762C">
            <w:pPr>
              <w:spacing w:after="0"/>
              <w:jc w:val="both"/>
              <w:rPr>
                <w:rFonts w:cs="Times New Roman"/>
                <w:noProof/>
                <w:sz w:val="20"/>
                <w:szCs w:val="20"/>
              </w:rPr>
            </w:pPr>
          </w:p>
        </w:tc>
        <w:tc>
          <w:tcPr>
            <w:tcW w:w="456" w:type="pct"/>
          </w:tcPr>
          <w:p w14:paraId="38211D3B" w14:textId="77777777" w:rsidR="00CB4EBF" w:rsidRPr="001C431F" w:rsidRDefault="00CB4EBF" w:rsidP="0054762C">
            <w:pPr>
              <w:spacing w:after="0"/>
              <w:jc w:val="both"/>
              <w:rPr>
                <w:rFonts w:cs="Times New Roman"/>
                <w:noProof/>
                <w:sz w:val="20"/>
                <w:szCs w:val="20"/>
              </w:rPr>
            </w:pPr>
          </w:p>
        </w:tc>
        <w:tc>
          <w:tcPr>
            <w:tcW w:w="396" w:type="pct"/>
            <w:shd w:val="clear" w:color="auto" w:fill="auto"/>
          </w:tcPr>
          <w:p w14:paraId="696B2810" w14:textId="77777777" w:rsidR="00CB4EBF" w:rsidRPr="001C431F" w:rsidRDefault="00CB4EBF" w:rsidP="0054762C">
            <w:pPr>
              <w:spacing w:after="0"/>
              <w:jc w:val="both"/>
              <w:rPr>
                <w:rFonts w:cs="Times New Roman"/>
                <w:noProof/>
                <w:sz w:val="20"/>
                <w:szCs w:val="20"/>
              </w:rPr>
            </w:pPr>
          </w:p>
        </w:tc>
        <w:tc>
          <w:tcPr>
            <w:tcW w:w="451" w:type="pct"/>
            <w:shd w:val="clear" w:color="auto" w:fill="auto"/>
          </w:tcPr>
          <w:p w14:paraId="4EECE087" w14:textId="77777777" w:rsidR="00CB4EBF" w:rsidRPr="001C431F" w:rsidRDefault="00CB4EBF" w:rsidP="0054762C">
            <w:pPr>
              <w:spacing w:after="0"/>
              <w:jc w:val="both"/>
              <w:rPr>
                <w:rFonts w:cs="Times New Roman"/>
                <w:noProof/>
                <w:sz w:val="20"/>
                <w:szCs w:val="20"/>
              </w:rPr>
            </w:pPr>
          </w:p>
        </w:tc>
        <w:tc>
          <w:tcPr>
            <w:tcW w:w="601" w:type="pct"/>
          </w:tcPr>
          <w:p w14:paraId="706E7867" w14:textId="77777777" w:rsidR="00CB4EBF" w:rsidRPr="001C431F" w:rsidRDefault="00CB4EBF" w:rsidP="0054762C">
            <w:pPr>
              <w:spacing w:after="0"/>
              <w:jc w:val="both"/>
              <w:rPr>
                <w:rFonts w:cs="Times New Roman"/>
                <w:noProof/>
                <w:sz w:val="20"/>
                <w:szCs w:val="20"/>
              </w:rPr>
            </w:pPr>
          </w:p>
        </w:tc>
        <w:tc>
          <w:tcPr>
            <w:tcW w:w="538" w:type="pct"/>
            <w:shd w:val="clear" w:color="auto" w:fill="auto"/>
          </w:tcPr>
          <w:p w14:paraId="590DEDB2" w14:textId="77777777" w:rsidR="00CB4EBF" w:rsidRPr="001C431F" w:rsidRDefault="00CB4EBF" w:rsidP="0054762C">
            <w:pPr>
              <w:spacing w:after="0"/>
              <w:jc w:val="both"/>
              <w:rPr>
                <w:rFonts w:cs="Times New Roman"/>
                <w:noProof/>
                <w:sz w:val="20"/>
                <w:szCs w:val="20"/>
              </w:rPr>
            </w:pPr>
          </w:p>
        </w:tc>
        <w:tc>
          <w:tcPr>
            <w:tcW w:w="467" w:type="pct"/>
          </w:tcPr>
          <w:p w14:paraId="06649D42" w14:textId="77777777" w:rsidR="00CB4EBF" w:rsidRPr="001C431F" w:rsidRDefault="00CB4EBF" w:rsidP="0054762C">
            <w:pPr>
              <w:spacing w:after="0"/>
              <w:jc w:val="both"/>
              <w:rPr>
                <w:rFonts w:cs="Times New Roman"/>
                <w:noProof/>
                <w:sz w:val="20"/>
                <w:szCs w:val="20"/>
              </w:rPr>
            </w:pPr>
          </w:p>
        </w:tc>
        <w:tc>
          <w:tcPr>
            <w:tcW w:w="607" w:type="pct"/>
          </w:tcPr>
          <w:p w14:paraId="5CF1AD6A" w14:textId="77777777" w:rsidR="00CB4EBF" w:rsidRPr="001C431F" w:rsidRDefault="00CB4EBF" w:rsidP="0054762C">
            <w:pPr>
              <w:spacing w:after="0"/>
              <w:jc w:val="both"/>
              <w:rPr>
                <w:rFonts w:cs="Times New Roman"/>
                <w:noProof/>
                <w:sz w:val="20"/>
                <w:szCs w:val="20"/>
              </w:rPr>
            </w:pPr>
          </w:p>
        </w:tc>
        <w:tc>
          <w:tcPr>
            <w:tcW w:w="471" w:type="pct"/>
            <w:shd w:val="clear" w:color="auto" w:fill="auto"/>
          </w:tcPr>
          <w:p w14:paraId="3E969D71" w14:textId="77777777" w:rsidR="00CB4EBF" w:rsidRPr="001C431F" w:rsidRDefault="00CB4EBF" w:rsidP="0054762C">
            <w:pPr>
              <w:spacing w:after="0"/>
              <w:jc w:val="both"/>
              <w:rPr>
                <w:rFonts w:cs="Times New Roman"/>
                <w:noProof/>
                <w:sz w:val="20"/>
                <w:szCs w:val="20"/>
              </w:rPr>
            </w:pPr>
          </w:p>
        </w:tc>
      </w:tr>
      <w:tr w:rsidR="00CB4EBF" w:rsidRPr="00A23750" w14:paraId="7AA27A37" w14:textId="77777777" w:rsidTr="0054762C">
        <w:tc>
          <w:tcPr>
            <w:tcW w:w="289" w:type="pct"/>
          </w:tcPr>
          <w:p w14:paraId="566E30F1" w14:textId="77777777" w:rsidR="00CB4EBF" w:rsidRPr="001C431F" w:rsidRDefault="00CB4EBF" w:rsidP="0054762C">
            <w:pPr>
              <w:spacing w:after="0"/>
              <w:jc w:val="both"/>
              <w:rPr>
                <w:rFonts w:cs="Times New Roman"/>
                <w:noProof/>
                <w:sz w:val="20"/>
                <w:szCs w:val="20"/>
              </w:rPr>
            </w:pPr>
          </w:p>
        </w:tc>
        <w:tc>
          <w:tcPr>
            <w:tcW w:w="291" w:type="pct"/>
          </w:tcPr>
          <w:p w14:paraId="5C58843C" w14:textId="77777777" w:rsidR="00CB4EBF" w:rsidRPr="001C431F" w:rsidRDefault="00CB4EBF" w:rsidP="0054762C">
            <w:pPr>
              <w:spacing w:after="0"/>
              <w:jc w:val="both"/>
              <w:rPr>
                <w:rFonts w:cs="Times New Roman"/>
                <w:noProof/>
                <w:sz w:val="20"/>
                <w:szCs w:val="20"/>
              </w:rPr>
            </w:pPr>
          </w:p>
        </w:tc>
        <w:tc>
          <w:tcPr>
            <w:tcW w:w="434" w:type="pct"/>
          </w:tcPr>
          <w:p w14:paraId="4AD5E736" w14:textId="77777777" w:rsidR="00CB4EBF" w:rsidRPr="001C431F" w:rsidRDefault="00CB4EBF" w:rsidP="0054762C">
            <w:pPr>
              <w:spacing w:after="0"/>
              <w:jc w:val="both"/>
              <w:rPr>
                <w:rFonts w:cs="Times New Roman"/>
                <w:noProof/>
                <w:sz w:val="20"/>
                <w:szCs w:val="20"/>
              </w:rPr>
            </w:pPr>
          </w:p>
        </w:tc>
        <w:tc>
          <w:tcPr>
            <w:tcW w:w="456" w:type="pct"/>
          </w:tcPr>
          <w:p w14:paraId="0B13CE4C" w14:textId="77777777" w:rsidR="00CB4EBF" w:rsidRPr="001C431F" w:rsidRDefault="00CB4EBF" w:rsidP="0054762C">
            <w:pPr>
              <w:spacing w:after="0"/>
              <w:jc w:val="both"/>
              <w:rPr>
                <w:rFonts w:cs="Times New Roman"/>
                <w:noProof/>
                <w:sz w:val="20"/>
                <w:szCs w:val="20"/>
              </w:rPr>
            </w:pPr>
          </w:p>
        </w:tc>
        <w:tc>
          <w:tcPr>
            <w:tcW w:w="396" w:type="pct"/>
            <w:shd w:val="clear" w:color="auto" w:fill="auto"/>
          </w:tcPr>
          <w:p w14:paraId="11DDFE9F" w14:textId="77777777" w:rsidR="00CB4EBF" w:rsidRPr="001C431F" w:rsidRDefault="00CB4EBF" w:rsidP="0054762C">
            <w:pPr>
              <w:spacing w:after="0"/>
              <w:jc w:val="both"/>
              <w:rPr>
                <w:rFonts w:cs="Times New Roman"/>
                <w:noProof/>
                <w:sz w:val="20"/>
                <w:szCs w:val="20"/>
              </w:rPr>
            </w:pPr>
          </w:p>
        </w:tc>
        <w:tc>
          <w:tcPr>
            <w:tcW w:w="451" w:type="pct"/>
            <w:shd w:val="clear" w:color="auto" w:fill="auto"/>
          </w:tcPr>
          <w:p w14:paraId="0C7DD868" w14:textId="77777777" w:rsidR="00CB4EBF" w:rsidRPr="001C431F" w:rsidRDefault="00CB4EBF" w:rsidP="0054762C">
            <w:pPr>
              <w:spacing w:after="0"/>
              <w:jc w:val="both"/>
              <w:rPr>
                <w:rFonts w:cs="Times New Roman"/>
                <w:noProof/>
                <w:sz w:val="20"/>
                <w:szCs w:val="20"/>
              </w:rPr>
            </w:pPr>
          </w:p>
        </w:tc>
        <w:tc>
          <w:tcPr>
            <w:tcW w:w="601" w:type="pct"/>
          </w:tcPr>
          <w:p w14:paraId="52E3BB90" w14:textId="77777777" w:rsidR="00CB4EBF" w:rsidRPr="001C431F" w:rsidRDefault="00CB4EBF" w:rsidP="0054762C">
            <w:pPr>
              <w:spacing w:after="0"/>
              <w:jc w:val="both"/>
              <w:rPr>
                <w:rFonts w:cs="Times New Roman"/>
                <w:noProof/>
                <w:sz w:val="20"/>
                <w:szCs w:val="20"/>
              </w:rPr>
            </w:pPr>
          </w:p>
        </w:tc>
        <w:tc>
          <w:tcPr>
            <w:tcW w:w="538" w:type="pct"/>
            <w:shd w:val="clear" w:color="auto" w:fill="auto"/>
          </w:tcPr>
          <w:p w14:paraId="059F5C7B" w14:textId="77777777" w:rsidR="00CB4EBF" w:rsidRPr="001C431F" w:rsidRDefault="00CB4EBF" w:rsidP="0054762C">
            <w:pPr>
              <w:spacing w:after="0"/>
              <w:jc w:val="both"/>
              <w:rPr>
                <w:rFonts w:cs="Times New Roman"/>
                <w:noProof/>
                <w:sz w:val="20"/>
                <w:szCs w:val="20"/>
              </w:rPr>
            </w:pPr>
          </w:p>
        </w:tc>
        <w:tc>
          <w:tcPr>
            <w:tcW w:w="467" w:type="pct"/>
          </w:tcPr>
          <w:p w14:paraId="4DAB9401" w14:textId="77777777" w:rsidR="00CB4EBF" w:rsidRPr="001C431F" w:rsidRDefault="00CB4EBF" w:rsidP="0054762C">
            <w:pPr>
              <w:spacing w:after="0"/>
              <w:jc w:val="both"/>
              <w:rPr>
                <w:rFonts w:cs="Times New Roman"/>
                <w:noProof/>
                <w:sz w:val="20"/>
                <w:szCs w:val="20"/>
              </w:rPr>
            </w:pPr>
          </w:p>
        </w:tc>
        <w:tc>
          <w:tcPr>
            <w:tcW w:w="607" w:type="pct"/>
          </w:tcPr>
          <w:p w14:paraId="4A59C27B" w14:textId="77777777" w:rsidR="00CB4EBF" w:rsidRPr="001C431F" w:rsidRDefault="00CB4EBF" w:rsidP="0054762C">
            <w:pPr>
              <w:spacing w:after="0"/>
              <w:jc w:val="both"/>
              <w:rPr>
                <w:rFonts w:cs="Times New Roman"/>
                <w:noProof/>
                <w:sz w:val="20"/>
                <w:szCs w:val="20"/>
              </w:rPr>
            </w:pPr>
          </w:p>
        </w:tc>
        <w:tc>
          <w:tcPr>
            <w:tcW w:w="471" w:type="pct"/>
            <w:shd w:val="clear" w:color="auto" w:fill="auto"/>
          </w:tcPr>
          <w:p w14:paraId="7086B389" w14:textId="77777777" w:rsidR="00CB4EBF" w:rsidRPr="001C431F" w:rsidRDefault="00CB4EBF" w:rsidP="0054762C">
            <w:pPr>
              <w:spacing w:after="0"/>
              <w:jc w:val="both"/>
              <w:rPr>
                <w:rFonts w:cs="Times New Roman"/>
                <w:noProof/>
                <w:sz w:val="20"/>
                <w:szCs w:val="20"/>
              </w:rPr>
            </w:pPr>
          </w:p>
        </w:tc>
      </w:tr>
      <w:tr w:rsidR="00CB4EBF" w:rsidRPr="00A23750" w14:paraId="396CBF53" w14:textId="77777777" w:rsidTr="0054762C">
        <w:tc>
          <w:tcPr>
            <w:tcW w:w="289" w:type="pct"/>
          </w:tcPr>
          <w:p w14:paraId="46377C1A" w14:textId="77777777" w:rsidR="00CB4EBF" w:rsidRPr="001C431F" w:rsidRDefault="00CB4EBF" w:rsidP="0054762C">
            <w:pPr>
              <w:spacing w:after="0"/>
              <w:jc w:val="both"/>
              <w:rPr>
                <w:rFonts w:cs="Times New Roman"/>
                <w:noProof/>
                <w:sz w:val="20"/>
                <w:szCs w:val="20"/>
              </w:rPr>
            </w:pPr>
          </w:p>
        </w:tc>
        <w:tc>
          <w:tcPr>
            <w:tcW w:w="291" w:type="pct"/>
          </w:tcPr>
          <w:p w14:paraId="59A0CF7B" w14:textId="77777777" w:rsidR="00CB4EBF" w:rsidRPr="001C431F" w:rsidRDefault="00CB4EBF" w:rsidP="0054762C">
            <w:pPr>
              <w:spacing w:after="0"/>
              <w:jc w:val="both"/>
              <w:rPr>
                <w:rFonts w:cs="Times New Roman"/>
                <w:noProof/>
                <w:sz w:val="20"/>
                <w:szCs w:val="20"/>
              </w:rPr>
            </w:pPr>
          </w:p>
        </w:tc>
        <w:tc>
          <w:tcPr>
            <w:tcW w:w="434" w:type="pct"/>
          </w:tcPr>
          <w:p w14:paraId="094479F4" w14:textId="77777777" w:rsidR="00CB4EBF" w:rsidRPr="001C431F" w:rsidRDefault="00CB4EBF" w:rsidP="0054762C">
            <w:pPr>
              <w:spacing w:after="0"/>
              <w:jc w:val="both"/>
              <w:rPr>
                <w:rFonts w:cs="Times New Roman"/>
                <w:noProof/>
                <w:sz w:val="20"/>
                <w:szCs w:val="20"/>
              </w:rPr>
            </w:pPr>
          </w:p>
        </w:tc>
        <w:tc>
          <w:tcPr>
            <w:tcW w:w="456" w:type="pct"/>
          </w:tcPr>
          <w:p w14:paraId="23073812" w14:textId="77777777" w:rsidR="00CB4EBF" w:rsidRPr="001C431F" w:rsidRDefault="00CB4EBF" w:rsidP="0054762C">
            <w:pPr>
              <w:spacing w:after="0"/>
              <w:jc w:val="both"/>
              <w:rPr>
                <w:rFonts w:cs="Times New Roman"/>
                <w:noProof/>
                <w:sz w:val="20"/>
                <w:szCs w:val="20"/>
              </w:rPr>
            </w:pPr>
          </w:p>
        </w:tc>
        <w:tc>
          <w:tcPr>
            <w:tcW w:w="396" w:type="pct"/>
            <w:shd w:val="clear" w:color="auto" w:fill="auto"/>
          </w:tcPr>
          <w:p w14:paraId="66FEC761" w14:textId="77777777" w:rsidR="00CB4EBF" w:rsidRPr="001C431F" w:rsidRDefault="00CB4EBF" w:rsidP="0054762C">
            <w:pPr>
              <w:spacing w:after="0"/>
              <w:jc w:val="both"/>
              <w:rPr>
                <w:rFonts w:cs="Times New Roman"/>
                <w:noProof/>
                <w:sz w:val="20"/>
                <w:szCs w:val="20"/>
              </w:rPr>
            </w:pPr>
          </w:p>
        </w:tc>
        <w:tc>
          <w:tcPr>
            <w:tcW w:w="451" w:type="pct"/>
            <w:shd w:val="clear" w:color="auto" w:fill="auto"/>
          </w:tcPr>
          <w:p w14:paraId="5733C0F5" w14:textId="77777777" w:rsidR="00CB4EBF" w:rsidRPr="001C431F" w:rsidRDefault="00CB4EBF" w:rsidP="0054762C">
            <w:pPr>
              <w:spacing w:after="0"/>
              <w:jc w:val="both"/>
              <w:rPr>
                <w:rFonts w:cs="Times New Roman"/>
                <w:noProof/>
                <w:sz w:val="20"/>
                <w:szCs w:val="20"/>
              </w:rPr>
            </w:pPr>
          </w:p>
        </w:tc>
        <w:tc>
          <w:tcPr>
            <w:tcW w:w="601" w:type="pct"/>
          </w:tcPr>
          <w:p w14:paraId="777E6658" w14:textId="77777777" w:rsidR="00CB4EBF" w:rsidRPr="001C431F" w:rsidRDefault="00CB4EBF" w:rsidP="0054762C">
            <w:pPr>
              <w:spacing w:after="0"/>
              <w:jc w:val="both"/>
              <w:rPr>
                <w:rFonts w:cs="Times New Roman"/>
                <w:noProof/>
                <w:sz w:val="20"/>
                <w:szCs w:val="20"/>
              </w:rPr>
            </w:pPr>
          </w:p>
        </w:tc>
        <w:tc>
          <w:tcPr>
            <w:tcW w:w="538" w:type="pct"/>
            <w:shd w:val="clear" w:color="auto" w:fill="auto"/>
          </w:tcPr>
          <w:p w14:paraId="47293B06" w14:textId="77777777" w:rsidR="00CB4EBF" w:rsidRPr="001C431F" w:rsidRDefault="00CB4EBF" w:rsidP="0054762C">
            <w:pPr>
              <w:spacing w:after="0"/>
              <w:jc w:val="both"/>
              <w:rPr>
                <w:rFonts w:cs="Times New Roman"/>
                <w:noProof/>
                <w:sz w:val="20"/>
                <w:szCs w:val="20"/>
              </w:rPr>
            </w:pPr>
          </w:p>
        </w:tc>
        <w:tc>
          <w:tcPr>
            <w:tcW w:w="467" w:type="pct"/>
          </w:tcPr>
          <w:p w14:paraId="13CA352A" w14:textId="77777777" w:rsidR="00CB4EBF" w:rsidRPr="001C431F" w:rsidRDefault="00CB4EBF" w:rsidP="0054762C">
            <w:pPr>
              <w:spacing w:after="0"/>
              <w:jc w:val="both"/>
              <w:rPr>
                <w:rFonts w:cs="Times New Roman"/>
                <w:noProof/>
                <w:sz w:val="20"/>
                <w:szCs w:val="20"/>
              </w:rPr>
            </w:pPr>
          </w:p>
        </w:tc>
        <w:tc>
          <w:tcPr>
            <w:tcW w:w="607" w:type="pct"/>
          </w:tcPr>
          <w:p w14:paraId="4F6659E2" w14:textId="77777777" w:rsidR="00CB4EBF" w:rsidRPr="001C431F" w:rsidRDefault="00CB4EBF" w:rsidP="0054762C">
            <w:pPr>
              <w:spacing w:after="0"/>
              <w:jc w:val="both"/>
              <w:rPr>
                <w:rFonts w:cs="Times New Roman"/>
                <w:noProof/>
                <w:sz w:val="20"/>
                <w:szCs w:val="20"/>
              </w:rPr>
            </w:pPr>
          </w:p>
        </w:tc>
        <w:tc>
          <w:tcPr>
            <w:tcW w:w="471" w:type="pct"/>
            <w:shd w:val="clear" w:color="auto" w:fill="auto"/>
          </w:tcPr>
          <w:p w14:paraId="249313D6" w14:textId="77777777" w:rsidR="00CB4EBF" w:rsidRPr="001C431F" w:rsidRDefault="00CB4EBF" w:rsidP="0054762C">
            <w:pPr>
              <w:spacing w:after="0"/>
              <w:jc w:val="both"/>
              <w:rPr>
                <w:rFonts w:cs="Times New Roman"/>
                <w:noProof/>
                <w:sz w:val="20"/>
                <w:szCs w:val="20"/>
              </w:rPr>
            </w:pPr>
          </w:p>
        </w:tc>
      </w:tr>
    </w:tbl>
    <w:p w14:paraId="1BF4B10A" w14:textId="77777777" w:rsidR="00CB4EBF" w:rsidRPr="001C431F" w:rsidRDefault="00CB4EBF" w:rsidP="00CB4EBF">
      <w:pPr>
        <w:spacing w:after="0"/>
        <w:jc w:val="both"/>
        <w:rPr>
          <w:rFonts w:cs="Times New Roman"/>
          <w:b/>
          <w:noProof/>
          <w:sz w:val="20"/>
          <w:szCs w:val="20"/>
          <w:u w:val="single"/>
        </w:rPr>
      </w:pPr>
    </w:p>
    <w:p w14:paraId="153896F7" w14:textId="77777777" w:rsidR="00CB4EBF" w:rsidRPr="001C431F" w:rsidRDefault="00CB4EBF" w:rsidP="00CB4EBF">
      <w:pPr>
        <w:spacing w:after="0"/>
        <w:jc w:val="both"/>
        <w:rPr>
          <w:rFonts w:cs="Times New Roman"/>
          <w:b/>
          <w:noProof/>
          <w:sz w:val="20"/>
          <w:szCs w:val="20"/>
          <w:u w:val="single"/>
        </w:rPr>
        <w:sectPr w:rsidR="00CB4EBF" w:rsidRPr="001C431F" w:rsidSect="007C53AF">
          <w:headerReference w:type="even" r:id="rId38"/>
          <w:headerReference w:type="default" r:id="rId39"/>
          <w:footerReference w:type="even" r:id="rId40"/>
          <w:footerReference w:type="default" r:id="rId41"/>
          <w:headerReference w:type="first" r:id="rId42"/>
          <w:footerReference w:type="first" r:id="rId43"/>
          <w:pgSz w:w="16838" w:h="11906" w:orient="landscape"/>
          <w:pgMar w:top="1134" w:right="1134" w:bottom="1134" w:left="1134" w:header="567" w:footer="567" w:gutter="0"/>
          <w:cols w:space="708"/>
          <w:docGrid w:linePitch="360"/>
        </w:sectPr>
      </w:pPr>
    </w:p>
    <w:p w14:paraId="37043C66" w14:textId="77777777" w:rsidR="00CB4EBF" w:rsidRPr="001C431F" w:rsidRDefault="00CB4EBF" w:rsidP="00CB4EBF">
      <w:pPr>
        <w:spacing w:after="0"/>
        <w:jc w:val="both"/>
        <w:rPr>
          <w:rFonts w:cs="Times New Roman"/>
          <w:b/>
          <w:noProof/>
          <w:sz w:val="20"/>
          <w:szCs w:val="20"/>
        </w:rPr>
      </w:pPr>
      <w:r>
        <w:rPr>
          <w:rFonts w:cs="Times New Roman"/>
          <w:b/>
          <w:bCs/>
          <w:noProof/>
          <w:sz w:val="20"/>
          <w:szCs w:val="20"/>
          <w:lang w:val="hr"/>
        </w:rPr>
        <w:lastRenderedPageBreak/>
        <w:t>B. Pojedinosti prema vrsti operacije (mora se popuniti za svaku vrstu operacije)</w:t>
      </w:r>
    </w:p>
    <w:p w14:paraId="388DF783" w14:textId="77777777" w:rsidR="00CB4EBF" w:rsidRPr="001C431F" w:rsidRDefault="00CB4EBF" w:rsidP="00CB4EBF">
      <w:pPr>
        <w:spacing w:after="0"/>
        <w:jc w:val="both"/>
        <w:rPr>
          <w:rFonts w:cs="Times New Roman"/>
          <w:noProof/>
          <w:sz w:val="20"/>
          <w:szCs w:val="20"/>
        </w:rPr>
      </w:pPr>
    </w:p>
    <w:tbl>
      <w:tblPr>
        <w:tblW w:w="9796" w:type="dxa"/>
        <w:tblInd w:w="93" w:type="dxa"/>
        <w:tblLook w:val="0000" w:firstRow="0" w:lastRow="0" w:firstColumn="0" w:lastColumn="0" w:noHBand="0" w:noVBand="0"/>
      </w:tblPr>
      <w:tblGrid>
        <w:gridCol w:w="3417"/>
        <w:gridCol w:w="3189"/>
        <w:gridCol w:w="1595"/>
        <w:gridCol w:w="1595"/>
      </w:tblGrid>
      <w:tr w:rsidR="00CB4EBF" w:rsidRPr="00A23750" w14:paraId="719CD563" w14:textId="77777777" w:rsidTr="0054762C">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D29FE" w14:textId="77777777" w:rsidR="00CB4EBF" w:rsidRPr="001C431F" w:rsidRDefault="00CB4EBF" w:rsidP="0054762C">
            <w:pPr>
              <w:spacing w:after="0"/>
              <w:jc w:val="both"/>
              <w:rPr>
                <w:rFonts w:cs="Times New Roman"/>
                <w:bCs/>
                <w:noProof/>
                <w:sz w:val="20"/>
                <w:szCs w:val="20"/>
              </w:rPr>
            </w:pPr>
            <w:r>
              <w:rPr>
                <w:rFonts w:cs="Times New Roman"/>
                <w:noProof/>
                <w:sz w:val="20"/>
                <w:szCs w:val="20"/>
                <w:lang w:val="hr"/>
              </w:rPr>
              <w:t xml:space="preserve">1.1. Opis vrste operacije </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4620C11A" w14:textId="77777777" w:rsidR="00CB4EBF" w:rsidRPr="001C431F" w:rsidRDefault="00CB4EBF" w:rsidP="0054762C">
            <w:pPr>
              <w:spacing w:after="0"/>
              <w:jc w:val="both"/>
              <w:rPr>
                <w:rFonts w:cs="Times New Roman"/>
                <w:noProof/>
                <w:sz w:val="20"/>
                <w:szCs w:val="20"/>
              </w:rPr>
            </w:pPr>
          </w:p>
        </w:tc>
      </w:tr>
      <w:tr w:rsidR="00CB4EBF" w:rsidRPr="00A23750" w14:paraId="01D5D558" w14:textId="77777777" w:rsidTr="0054762C">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33A17" w14:textId="77777777" w:rsidR="00CB4EBF" w:rsidRPr="001C431F" w:rsidRDefault="00CB4EBF" w:rsidP="0054762C">
            <w:pPr>
              <w:spacing w:after="0"/>
              <w:jc w:val="both"/>
              <w:rPr>
                <w:rFonts w:cs="Times New Roman"/>
                <w:bCs/>
                <w:noProof/>
                <w:sz w:val="20"/>
                <w:szCs w:val="20"/>
              </w:rPr>
            </w:pPr>
            <w:r>
              <w:rPr>
                <w:rFonts w:cs="Times New Roman"/>
                <w:noProof/>
                <w:sz w:val="20"/>
                <w:szCs w:val="20"/>
                <w:lang w:val="hr"/>
              </w:rPr>
              <w:t>1.2. Specifični cilj</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7EC85965" w14:textId="77777777" w:rsidR="00CB4EBF" w:rsidRPr="001C431F" w:rsidRDefault="00CB4EBF" w:rsidP="0054762C">
            <w:pPr>
              <w:spacing w:after="0"/>
              <w:jc w:val="both"/>
              <w:rPr>
                <w:rFonts w:cs="Times New Roman"/>
                <w:noProof/>
                <w:sz w:val="20"/>
                <w:szCs w:val="20"/>
              </w:rPr>
            </w:pPr>
          </w:p>
          <w:p w14:paraId="671A7E1C" w14:textId="77777777" w:rsidR="00CB4EBF" w:rsidRPr="001C431F" w:rsidRDefault="00CB4EBF" w:rsidP="0054762C">
            <w:pPr>
              <w:spacing w:after="0"/>
              <w:jc w:val="both"/>
              <w:rPr>
                <w:rFonts w:cs="Times New Roman"/>
                <w:noProof/>
                <w:sz w:val="20"/>
                <w:szCs w:val="20"/>
              </w:rPr>
            </w:pPr>
          </w:p>
          <w:p w14:paraId="7E64F347" w14:textId="77777777" w:rsidR="00CB4EBF" w:rsidRPr="001C431F" w:rsidRDefault="00CB4EBF" w:rsidP="0054762C">
            <w:pPr>
              <w:spacing w:after="0"/>
              <w:jc w:val="both"/>
              <w:rPr>
                <w:rFonts w:cs="Times New Roman"/>
                <w:noProof/>
                <w:sz w:val="20"/>
                <w:szCs w:val="20"/>
              </w:rPr>
            </w:pPr>
          </w:p>
        </w:tc>
      </w:tr>
      <w:tr w:rsidR="00CB4EBF" w:rsidRPr="00A23750" w14:paraId="46856AC2" w14:textId="77777777" w:rsidTr="0054762C">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64FD6" w14:textId="77777777" w:rsidR="00CB4EBF" w:rsidRPr="001C431F" w:rsidRDefault="00CB4EBF" w:rsidP="0054762C">
            <w:pPr>
              <w:spacing w:after="0"/>
              <w:jc w:val="both"/>
              <w:rPr>
                <w:rFonts w:cs="Times New Roman"/>
                <w:bCs/>
                <w:noProof/>
                <w:sz w:val="20"/>
                <w:szCs w:val="20"/>
              </w:rPr>
            </w:pPr>
            <w:r>
              <w:rPr>
                <w:rFonts w:cs="Times New Roman"/>
                <w:noProof/>
                <w:sz w:val="20"/>
                <w:szCs w:val="20"/>
                <w:lang w:val="hr"/>
              </w:rPr>
              <w:t xml:space="preserve">1.3. Uvjeti koji se trebaju ispuniti ili rezultati koji se trebaju ostvariti </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0711876F" w14:textId="77777777" w:rsidR="00CB4EBF" w:rsidRPr="001C431F" w:rsidRDefault="00CB4EBF" w:rsidP="0054762C">
            <w:pPr>
              <w:spacing w:after="0"/>
              <w:jc w:val="both"/>
              <w:rPr>
                <w:rFonts w:cs="Times New Roman"/>
                <w:noProof/>
                <w:sz w:val="20"/>
                <w:szCs w:val="20"/>
              </w:rPr>
            </w:pPr>
          </w:p>
        </w:tc>
      </w:tr>
      <w:tr w:rsidR="00CB4EBF" w:rsidRPr="00A23750" w14:paraId="359BC488" w14:textId="77777777" w:rsidTr="0054762C">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D5CF7" w14:textId="77777777" w:rsidR="00CB4EBF" w:rsidRPr="001C431F" w:rsidRDefault="00CB4EBF" w:rsidP="0054762C">
            <w:pPr>
              <w:spacing w:after="0"/>
              <w:jc w:val="both"/>
              <w:rPr>
                <w:rFonts w:cs="Times New Roman"/>
                <w:bCs/>
                <w:noProof/>
                <w:sz w:val="20"/>
                <w:szCs w:val="20"/>
              </w:rPr>
            </w:pPr>
            <w:r>
              <w:rPr>
                <w:rFonts w:cs="Times New Roman"/>
                <w:noProof/>
                <w:sz w:val="20"/>
                <w:szCs w:val="20"/>
                <w:lang w:val="hr"/>
              </w:rPr>
              <w:t>1.4. Rok za ispunjenje uvjetâ ili ostvarenje rezultata</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23C41D10" w14:textId="77777777" w:rsidR="00CB4EBF" w:rsidRPr="001C431F" w:rsidRDefault="00CB4EBF" w:rsidP="0054762C">
            <w:pPr>
              <w:spacing w:after="0"/>
              <w:jc w:val="both"/>
              <w:rPr>
                <w:rFonts w:cs="Times New Roman"/>
                <w:noProof/>
                <w:sz w:val="20"/>
                <w:szCs w:val="20"/>
              </w:rPr>
            </w:pPr>
          </w:p>
        </w:tc>
      </w:tr>
      <w:tr w:rsidR="00CB4EBF" w:rsidRPr="00A23750" w14:paraId="173A63B6" w14:textId="77777777" w:rsidTr="0054762C">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F6774" w14:textId="77777777" w:rsidR="00CB4EBF" w:rsidRPr="001C431F" w:rsidRDefault="00CB4EBF" w:rsidP="0054762C">
            <w:pPr>
              <w:spacing w:after="0"/>
              <w:jc w:val="both"/>
              <w:rPr>
                <w:rFonts w:cs="Times New Roman"/>
                <w:bCs/>
                <w:noProof/>
                <w:sz w:val="20"/>
                <w:szCs w:val="20"/>
              </w:rPr>
            </w:pPr>
            <w:r>
              <w:rPr>
                <w:rFonts w:cs="Times New Roman"/>
                <w:noProof/>
                <w:sz w:val="20"/>
                <w:szCs w:val="20"/>
                <w:lang w:val="hr"/>
              </w:rPr>
              <w:t>1.5. Mjerna jedinica za uvjete koji se trebaju ispuniti / rezultate koji se trebaju ostvariti i na temelju kojih Komisija vrši nadoknadu</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36C0A302" w14:textId="77777777" w:rsidR="00CB4EBF" w:rsidRPr="001C431F" w:rsidRDefault="00CB4EBF" w:rsidP="0054762C">
            <w:pPr>
              <w:spacing w:after="0"/>
              <w:jc w:val="both"/>
              <w:rPr>
                <w:rFonts w:cs="Times New Roman"/>
                <w:noProof/>
                <w:sz w:val="20"/>
                <w:szCs w:val="20"/>
              </w:rPr>
            </w:pPr>
          </w:p>
        </w:tc>
      </w:tr>
      <w:tr w:rsidR="00CB4EBF" w:rsidRPr="00A23750" w14:paraId="556A7E92" w14:textId="77777777" w:rsidTr="0054762C">
        <w:trPr>
          <w:trHeight w:val="360"/>
        </w:trPr>
        <w:tc>
          <w:tcPr>
            <w:tcW w:w="3417" w:type="dxa"/>
            <w:vMerge w:val="restart"/>
            <w:tcBorders>
              <w:top w:val="single" w:sz="4" w:space="0" w:color="auto"/>
              <w:left w:val="single" w:sz="4" w:space="0" w:color="auto"/>
              <w:right w:val="single" w:sz="4" w:space="0" w:color="auto"/>
            </w:tcBorders>
            <w:shd w:val="clear" w:color="auto" w:fill="auto"/>
            <w:noWrap/>
            <w:vAlign w:val="center"/>
          </w:tcPr>
          <w:p w14:paraId="36100ABE" w14:textId="77777777" w:rsidR="00CB4EBF" w:rsidRPr="001C431F" w:rsidRDefault="00CB4EBF" w:rsidP="0054762C">
            <w:pPr>
              <w:spacing w:after="0"/>
              <w:jc w:val="both"/>
              <w:rPr>
                <w:rFonts w:cs="Times New Roman"/>
                <w:bCs/>
                <w:noProof/>
                <w:sz w:val="20"/>
                <w:szCs w:val="20"/>
              </w:rPr>
            </w:pPr>
            <w:r>
              <w:rPr>
                <w:rFonts w:cs="Times New Roman"/>
                <w:noProof/>
                <w:sz w:val="20"/>
                <w:szCs w:val="20"/>
                <w:lang w:val="hr"/>
              </w:rPr>
              <w:t>1.6. Privremeni rezultati (ako je to primjenjivo) na temelju kojih Komisija vrši nadoknadu, s rasporedom nadoknada</w:t>
            </w:r>
          </w:p>
        </w:tc>
        <w:tc>
          <w:tcPr>
            <w:tcW w:w="3189" w:type="dxa"/>
            <w:tcBorders>
              <w:top w:val="single" w:sz="4" w:space="0" w:color="auto"/>
              <w:left w:val="single" w:sz="4" w:space="0" w:color="auto"/>
              <w:bottom w:val="single" w:sz="4" w:space="0" w:color="auto"/>
              <w:right w:val="single" w:sz="4" w:space="0" w:color="auto"/>
            </w:tcBorders>
            <w:vAlign w:val="center"/>
          </w:tcPr>
          <w:p w14:paraId="2078FBC2" w14:textId="77777777" w:rsidR="00CB4EBF" w:rsidRPr="001C431F" w:rsidRDefault="00CB4EBF" w:rsidP="0054762C">
            <w:pPr>
              <w:spacing w:after="0"/>
              <w:jc w:val="both"/>
              <w:rPr>
                <w:rFonts w:cs="Times New Roman"/>
                <w:noProof/>
                <w:sz w:val="20"/>
                <w:szCs w:val="20"/>
              </w:rPr>
            </w:pPr>
            <w:r>
              <w:rPr>
                <w:rFonts w:cs="Times New Roman"/>
                <w:noProof/>
                <w:sz w:val="20"/>
                <w:szCs w:val="20"/>
                <w:lang w:val="hr"/>
              </w:rPr>
              <w:t xml:space="preserve">Privremeni rezultati </w:t>
            </w:r>
          </w:p>
        </w:tc>
        <w:tc>
          <w:tcPr>
            <w:tcW w:w="1595" w:type="dxa"/>
            <w:tcBorders>
              <w:top w:val="single" w:sz="4" w:space="0" w:color="auto"/>
              <w:left w:val="single" w:sz="4" w:space="0" w:color="auto"/>
              <w:bottom w:val="single" w:sz="4" w:space="0" w:color="auto"/>
              <w:right w:val="single" w:sz="4" w:space="0" w:color="auto"/>
            </w:tcBorders>
            <w:vAlign w:val="center"/>
          </w:tcPr>
          <w:p w14:paraId="5C5F080F" w14:textId="77777777" w:rsidR="00CB4EBF" w:rsidRPr="001C431F" w:rsidRDefault="00CB4EBF" w:rsidP="0054762C">
            <w:pPr>
              <w:spacing w:after="0"/>
              <w:jc w:val="both"/>
              <w:rPr>
                <w:rFonts w:cs="Times New Roman"/>
                <w:noProof/>
                <w:sz w:val="20"/>
                <w:szCs w:val="20"/>
              </w:rPr>
            </w:pPr>
            <w:r>
              <w:rPr>
                <w:rFonts w:cs="Times New Roman"/>
                <w:noProof/>
                <w:sz w:val="20"/>
                <w:szCs w:val="20"/>
                <w:lang w:val="hr"/>
              </w:rPr>
              <w:t>Predviđeni datum</w:t>
            </w:r>
          </w:p>
        </w:tc>
        <w:tc>
          <w:tcPr>
            <w:tcW w:w="1595" w:type="dxa"/>
            <w:tcBorders>
              <w:top w:val="single" w:sz="4" w:space="0" w:color="auto"/>
              <w:left w:val="single" w:sz="4" w:space="0" w:color="auto"/>
              <w:bottom w:val="single" w:sz="4" w:space="0" w:color="auto"/>
              <w:right w:val="single" w:sz="4" w:space="0" w:color="auto"/>
            </w:tcBorders>
            <w:vAlign w:val="center"/>
          </w:tcPr>
          <w:p w14:paraId="44C50556" w14:textId="77777777" w:rsidR="00CB4EBF" w:rsidRPr="001C431F" w:rsidRDefault="00CB4EBF" w:rsidP="0054762C">
            <w:pPr>
              <w:spacing w:after="0"/>
              <w:jc w:val="both"/>
              <w:rPr>
                <w:rFonts w:cs="Times New Roman"/>
                <w:noProof/>
                <w:sz w:val="20"/>
                <w:szCs w:val="20"/>
              </w:rPr>
            </w:pPr>
            <w:r>
              <w:rPr>
                <w:rFonts w:cs="Times New Roman"/>
                <w:noProof/>
                <w:sz w:val="20"/>
                <w:szCs w:val="20"/>
                <w:lang w:val="hr"/>
              </w:rPr>
              <w:t>Iznosi (u EUR)</w:t>
            </w:r>
          </w:p>
        </w:tc>
      </w:tr>
      <w:tr w:rsidR="00CB4EBF" w:rsidRPr="00A23750" w14:paraId="6A7BA498" w14:textId="77777777" w:rsidTr="0054762C">
        <w:trPr>
          <w:trHeight w:val="360"/>
        </w:trPr>
        <w:tc>
          <w:tcPr>
            <w:tcW w:w="3417" w:type="dxa"/>
            <w:vMerge/>
            <w:tcBorders>
              <w:left w:val="single" w:sz="4" w:space="0" w:color="auto"/>
              <w:right w:val="single" w:sz="4" w:space="0" w:color="auto"/>
            </w:tcBorders>
            <w:shd w:val="clear" w:color="auto" w:fill="auto"/>
            <w:noWrap/>
            <w:vAlign w:val="center"/>
          </w:tcPr>
          <w:p w14:paraId="71868812" w14:textId="77777777" w:rsidR="00CB4EBF" w:rsidRPr="001C431F" w:rsidRDefault="00CB4EBF" w:rsidP="0054762C">
            <w:pPr>
              <w:spacing w:after="0"/>
              <w:jc w:val="both"/>
              <w:rPr>
                <w:rFonts w:cs="Times New Roman"/>
                <w:bCs/>
                <w:noProof/>
                <w:sz w:val="20"/>
                <w:szCs w:val="20"/>
              </w:rPr>
            </w:pPr>
          </w:p>
        </w:tc>
        <w:tc>
          <w:tcPr>
            <w:tcW w:w="3189" w:type="dxa"/>
            <w:tcBorders>
              <w:top w:val="single" w:sz="4" w:space="0" w:color="auto"/>
              <w:left w:val="single" w:sz="4" w:space="0" w:color="auto"/>
              <w:bottom w:val="single" w:sz="4" w:space="0" w:color="auto"/>
              <w:right w:val="single" w:sz="4" w:space="0" w:color="auto"/>
            </w:tcBorders>
            <w:vAlign w:val="center"/>
          </w:tcPr>
          <w:p w14:paraId="511EFCFE" w14:textId="77777777" w:rsidR="00CB4EBF" w:rsidRPr="001C431F" w:rsidRDefault="00CB4EBF" w:rsidP="0054762C">
            <w:pPr>
              <w:spacing w:after="0"/>
              <w:jc w:val="both"/>
              <w:rPr>
                <w:rFonts w:cs="Times New Roman"/>
                <w:noProof/>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14:paraId="2CDC9030" w14:textId="77777777" w:rsidR="00CB4EBF" w:rsidRPr="001C431F" w:rsidRDefault="00CB4EBF" w:rsidP="0054762C">
            <w:pPr>
              <w:spacing w:after="0"/>
              <w:jc w:val="both"/>
              <w:rPr>
                <w:rFonts w:cs="Times New Roman"/>
                <w:noProof/>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14:paraId="24945B34" w14:textId="77777777" w:rsidR="00CB4EBF" w:rsidRPr="001C431F" w:rsidRDefault="00CB4EBF" w:rsidP="0054762C">
            <w:pPr>
              <w:spacing w:after="0"/>
              <w:jc w:val="both"/>
              <w:rPr>
                <w:rFonts w:cs="Times New Roman"/>
                <w:noProof/>
                <w:sz w:val="20"/>
                <w:szCs w:val="20"/>
              </w:rPr>
            </w:pPr>
          </w:p>
        </w:tc>
      </w:tr>
      <w:tr w:rsidR="00CB4EBF" w:rsidRPr="00A23750" w14:paraId="4D47ED7D" w14:textId="77777777" w:rsidTr="0054762C">
        <w:trPr>
          <w:trHeight w:val="360"/>
        </w:trPr>
        <w:tc>
          <w:tcPr>
            <w:tcW w:w="3417" w:type="dxa"/>
            <w:vMerge/>
            <w:tcBorders>
              <w:left w:val="single" w:sz="4" w:space="0" w:color="auto"/>
              <w:bottom w:val="single" w:sz="4" w:space="0" w:color="auto"/>
              <w:right w:val="single" w:sz="4" w:space="0" w:color="auto"/>
            </w:tcBorders>
            <w:shd w:val="clear" w:color="auto" w:fill="auto"/>
            <w:noWrap/>
            <w:vAlign w:val="center"/>
          </w:tcPr>
          <w:p w14:paraId="246638BB" w14:textId="77777777" w:rsidR="00CB4EBF" w:rsidRPr="001C431F" w:rsidRDefault="00CB4EBF" w:rsidP="0054762C">
            <w:pPr>
              <w:spacing w:after="0"/>
              <w:jc w:val="both"/>
              <w:rPr>
                <w:rFonts w:cs="Times New Roman"/>
                <w:bCs/>
                <w:noProof/>
                <w:sz w:val="20"/>
                <w:szCs w:val="20"/>
              </w:rPr>
            </w:pPr>
          </w:p>
        </w:tc>
        <w:tc>
          <w:tcPr>
            <w:tcW w:w="3189" w:type="dxa"/>
            <w:tcBorders>
              <w:top w:val="single" w:sz="4" w:space="0" w:color="auto"/>
              <w:left w:val="single" w:sz="4" w:space="0" w:color="auto"/>
              <w:bottom w:val="single" w:sz="4" w:space="0" w:color="auto"/>
              <w:right w:val="single" w:sz="4" w:space="0" w:color="auto"/>
            </w:tcBorders>
            <w:vAlign w:val="center"/>
          </w:tcPr>
          <w:p w14:paraId="009B2BCA" w14:textId="77777777" w:rsidR="00CB4EBF" w:rsidRPr="001C431F" w:rsidRDefault="00CB4EBF" w:rsidP="0054762C">
            <w:pPr>
              <w:spacing w:after="0"/>
              <w:jc w:val="both"/>
              <w:rPr>
                <w:rFonts w:cs="Times New Roman"/>
                <w:noProof/>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14:paraId="5BEB8D4B" w14:textId="77777777" w:rsidR="00CB4EBF" w:rsidRPr="001C431F" w:rsidRDefault="00CB4EBF" w:rsidP="0054762C">
            <w:pPr>
              <w:spacing w:after="0"/>
              <w:jc w:val="both"/>
              <w:rPr>
                <w:rFonts w:cs="Times New Roman"/>
                <w:noProof/>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14:paraId="769856D4" w14:textId="77777777" w:rsidR="00CB4EBF" w:rsidRPr="001C431F" w:rsidRDefault="00CB4EBF" w:rsidP="0054762C">
            <w:pPr>
              <w:spacing w:after="0"/>
              <w:jc w:val="both"/>
              <w:rPr>
                <w:rFonts w:cs="Times New Roman"/>
                <w:noProof/>
                <w:sz w:val="20"/>
                <w:szCs w:val="20"/>
              </w:rPr>
            </w:pPr>
          </w:p>
        </w:tc>
      </w:tr>
      <w:tr w:rsidR="00CB4EBF" w:rsidRPr="00A23750" w14:paraId="14149AC9" w14:textId="77777777" w:rsidTr="0054762C">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EB298" w14:textId="77777777" w:rsidR="00CB4EBF" w:rsidRPr="001C431F" w:rsidRDefault="00CB4EBF" w:rsidP="0054762C">
            <w:pPr>
              <w:pageBreakBefore/>
              <w:spacing w:after="0"/>
              <w:jc w:val="both"/>
              <w:rPr>
                <w:rFonts w:cs="Times New Roman"/>
                <w:bCs/>
                <w:noProof/>
                <w:sz w:val="20"/>
                <w:szCs w:val="20"/>
              </w:rPr>
            </w:pPr>
            <w:r>
              <w:rPr>
                <w:rFonts w:cs="Times New Roman"/>
                <w:noProof/>
                <w:sz w:val="20"/>
                <w:szCs w:val="20"/>
                <w:lang w:val="hr"/>
              </w:rPr>
              <w:lastRenderedPageBreak/>
              <w:t>1.7. Ukupan iznos (uključujući financiranje sredstvima Unije i financiranje nacionalnim sredstvima)</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40C6576C" w14:textId="77777777" w:rsidR="00CB4EBF" w:rsidRPr="001C431F" w:rsidRDefault="00CB4EBF" w:rsidP="0054762C">
            <w:pPr>
              <w:spacing w:after="0"/>
              <w:jc w:val="both"/>
              <w:rPr>
                <w:rFonts w:cs="Times New Roman"/>
                <w:noProof/>
                <w:sz w:val="20"/>
                <w:szCs w:val="20"/>
              </w:rPr>
            </w:pPr>
          </w:p>
        </w:tc>
      </w:tr>
      <w:tr w:rsidR="00CB4EBF" w:rsidRPr="00A23750" w14:paraId="61756EE7" w14:textId="77777777" w:rsidTr="0054762C">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2CE9C" w14:textId="77777777" w:rsidR="00CB4EBF" w:rsidRPr="001C431F" w:rsidRDefault="00CB4EBF" w:rsidP="0054762C">
            <w:pPr>
              <w:spacing w:after="0"/>
              <w:jc w:val="both"/>
              <w:rPr>
                <w:rFonts w:cs="Times New Roman"/>
                <w:bCs/>
                <w:noProof/>
                <w:sz w:val="20"/>
                <w:szCs w:val="20"/>
              </w:rPr>
            </w:pPr>
            <w:r>
              <w:rPr>
                <w:rFonts w:cs="Times New Roman"/>
                <w:noProof/>
                <w:sz w:val="20"/>
                <w:szCs w:val="20"/>
                <w:lang w:val="hr"/>
              </w:rPr>
              <w:t>1.8. Metoda prilagodbe/prilagodbi</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363D1C5A" w14:textId="77777777" w:rsidR="00CB4EBF" w:rsidRPr="001C431F" w:rsidRDefault="00CB4EBF" w:rsidP="0054762C">
            <w:pPr>
              <w:spacing w:after="0"/>
              <w:jc w:val="both"/>
              <w:rPr>
                <w:rFonts w:cs="Times New Roman"/>
                <w:i/>
                <w:noProof/>
                <w:sz w:val="20"/>
                <w:szCs w:val="20"/>
              </w:rPr>
            </w:pPr>
          </w:p>
        </w:tc>
      </w:tr>
      <w:tr w:rsidR="00CB4EBF" w:rsidRPr="00A23750" w14:paraId="31098876" w14:textId="77777777" w:rsidTr="0054762C">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C7552" w14:textId="77777777" w:rsidR="00CB4EBF" w:rsidRPr="001C431F" w:rsidRDefault="00CB4EBF" w:rsidP="0054762C">
            <w:pPr>
              <w:spacing w:after="0"/>
              <w:jc w:val="both"/>
              <w:rPr>
                <w:rFonts w:cs="Times New Roman"/>
                <w:noProof/>
                <w:sz w:val="20"/>
                <w:szCs w:val="20"/>
              </w:rPr>
            </w:pPr>
            <w:r>
              <w:rPr>
                <w:rFonts w:cs="Times New Roman"/>
                <w:noProof/>
                <w:sz w:val="20"/>
                <w:szCs w:val="20"/>
                <w:lang w:val="hr"/>
              </w:rPr>
              <w:t>1.9. Provjera ostvarenja rezultata ili ispunjenja uvjeta (i ako je to relevantno, privremenih rezultata)</w:t>
            </w:r>
          </w:p>
          <w:p w14:paraId="519DD016" w14:textId="77777777" w:rsidR="00CB4EBF" w:rsidRPr="001C431F" w:rsidRDefault="00CB4EBF" w:rsidP="0054762C">
            <w:pPr>
              <w:spacing w:after="0"/>
              <w:jc w:val="both"/>
              <w:rPr>
                <w:rFonts w:cs="Times New Roman"/>
                <w:noProof/>
                <w:sz w:val="20"/>
                <w:szCs w:val="20"/>
              </w:rPr>
            </w:pPr>
            <w:r>
              <w:rPr>
                <w:rFonts w:cs="Times New Roman"/>
                <w:noProof/>
                <w:sz w:val="20"/>
                <w:szCs w:val="20"/>
                <w:lang w:val="hr"/>
              </w:rPr>
              <w:t>– opišite koji će se dokument/dokumenti ili sustavi upotrijebiti za provjeru ostvarenja rezultata ili ispunjenja uvjeta (i ako je to relevantno, svaki od privremenih rezultata)</w:t>
            </w:r>
          </w:p>
          <w:p w14:paraId="2E44BB3A" w14:textId="77777777" w:rsidR="00CB4EBF" w:rsidRPr="001C431F" w:rsidRDefault="00CB4EBF" w:rsidP="0054762C">
            <w:pPr>
              <w:spacing w:after="0"/>
              <w:jc w:val="both"/>
              <w:rPr>
                <w:rFonts w:cs="Times New Roman"/>
                <w:noProof/>
                <w:sz w:val="20"/>
                <w:szCs w:val="20"/>
              </w:rPr>
            </w:pPr>
            <w:r>
              <w:rPr>
                <w:rFonts w:cs="Times New Roman"/>
                <w:noProof/>
                <w:sz w:val="20"/>
                <w:szCs w:val="20"/>
                <w:lang w:val="hr"/>
              </w:rPr>
              <w:t>– opišite kako će se provoditi provjere upravljanja (uključujući one na licu mjesta) i tko će ih provoditi</w:t>
            </w:r>
          </w:p>
          <w:p w14:paraId="1DCF74BE" w14:textId="77777777" w:rsidR="00CB4EBF" w:rsidRPr="001C431F" w:rsidRDefault="00CB4EBF" w:rsidP="0054762C">
            <w:pPr>
              <w:spacing w:after="0"/>
              <w:jc w:val="both"/>
              <w:rPr>
                <w:rFonts w:cs="Times New Roman"/>
                <w:noProof/>
                <w:sz w:val="20"/>
                <w:szCs w:val="20"/>
              </w:rPr>
            </w:pPr>
            <w:r>
              <w:rPr>
                <w:rFonts w:cs="Times New Roman"/>
                <w:noProof/>
                <w:sz w:val="20"/>
                <w:szCs w:val="20"/>
                <w:lang w:val="hr"/>
              </w:rPr>
              <w:t xml:space="preserve">– opišite postojeće mehanizme koji će se uvesti za prikupljanje i pohranu relevantnih podataka/dokumenata  </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3ABE5A3E" w14:textId="77777777" w:rsidR="00CB4EBF" w:rsidRPr="001C431F" w:rsidRDefault="00CB4EBF" w:rsidP="0054762C">
            <w:pPr>
              <w:spacing w:after="0"/>
              <w:jc w:val="both"/>
              <w:rPr>
                <w:rFonts w:cs="Times New Roman"/>
                <w:noProof/>
                <w:sz w:val="20"/>
                <w:szCs w:val="20"/>
              </w:rPr>
            </w:pPr>
          </w:p>
          <w:p w14:paraId="3398BF5C" w14:textId="77777777" w:rsidR="00CB4EBF" w:rsidRPr="001C431F" w:rsidRDefault="00CB4EBF" w:rsidP="0054762C">
            <w:pPr>
              <w:spacing w:after="0"/>
              <w:jc w:val="both"/>
              <w:rPr>
                <w:rFonts w:cs="Times New Roman"/>
                <w:noProof/>
                <w:sz w:val="20"/>
                <w:szCs w:val="20"/>
              </w:rPr>
            </w:pPr>
          </w:p>
          <w:p w14:paraId="05F2072A" w14:textId="77777777" w:rsidR="00CB4EBF" w:rsidRPr="001C431F" w:rsidRDefault="00CB4EBF" w:rsidP="0054762C">
            <w:pPr>
              <w:spacing w:after="0"/>
              <w:jc w:val="both"/>
              <w:rPr>
                <w:rFonts w:cs="Times New Roman"/>
                <w:noProof/>
                <w:sz w:val="20"/>
                <w:szCs w:val="20"/>
              </w:rPr>
            </w:pPr>
          </w:p>
        </w:tc>
      </w:tr>
      <w:tr w:rsidR="00CB4EBF" w:rsidRPr="00A23750" w14:paraId="5CDA78D3" w14:textId="77777777" w:rsidTr="0054762C">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4E52B" w14:textId="77777777" w:rsidR="00CB4EBF" w:rsidRPr="001C431F" w:rsidRDefault="00CB4EBF" w:rsidP="0054762C">
            <w:pPr>
              <w:spacing w:after="0"/>
              <w:jc w:val="both"/>
              <w:rPr>
                <w:rFonts w:cs="Times New Roman"/>
                <w:bCs/>
                <w:noProof/>
                <w:sz w:val="20"/>
                <w:szCs w:val="20"/>
              </w:rPr>
            </w:pPr>
            <w:r>
              <w:rPr>
                <w:rFonts w:cs="Times New Roman"/>
                <w:sz w:val="20"/>
                <w:szCs w:val="20"/>
                <w:lang w:val="hr"/>
              </w:rPr>
              <w:t>1.10. Upotreba bespovratnih sredstava u obliku financiranja koje nije povezano s troškovima / Jesu li bespovratna sredstva koja države članice pružaju korisnicima u obliku financiranja koje nije povezano s troškovima? [Da/ne]</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7D987557" w14:textId="77777777" w:rsidR="00CB4EBF" w:rsidRPr="001C431F" w:rsidRDefault="00CB4EBF" w:rsidP="0054762C">
            <w:pPr>
              <w:spacing w:after="0"/>
              <w:jc w:val="both"/>
              <w:rPr>
                <w:rFonts w:cs="Times New Roman"/>
                <w:noProof/>
                <w:sz w:val="20"/>
                <w:szCs w:val="20"/>
              </w:rPr>
            </w:pPr>
          </w:p>
        </w:tc>
      </w:tr>
      <w:tr w:rsidR="00CB4EBF" w:rsidRPr="00A23750" w14:paraId="527B5256" w14:textId="77777777" w:rsidTr="0054762C">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A17FC" w14:textId="77777777" w:rsidR="00CB4EBF" w:rsidRPr="001C431F" w:rsidRDefault="00CB4EBF" w:rsidP="0054762C">
            <w:pPr>
              <w:spacing w:after="0"/>
              <w:jc w:val="both"/>
              <w:rPr>
                <w:rFonts w:cs="Times New Roman"/>
                <w:noProof/>
                <w:sz w:val="20"/>
                <w:szCs w:val="20"/>
              </w:rPr>
            </w:pPr>
            <w:r>
              <w:rPr>
                <w:rFonts w:cs="Times New Roman"/>
                <w:noProof/>
                <w:sz w:val="20"/>
                <w:szCs w:val="20"/>
                <w:lang w:val="hr"/>
              </w:rPr>
              <w:t xml:space="preserve">1.11. Mehanizmi za osiguravanje revizijskog traga </w:t>
            </w:r>
          </w:p>
          <w:p w14:paraId="4F56F683" w14:textId="77777777" w:rsidR="00CB4EBF" w:rsidRPr="001C431F" w:rsidRDefault="00CB4EBF" w:rsidP="0054762C">
            <w:pPr>
              <w:spacing w:after="0"/>
              <w:jc w:val="both"/>
              <w:rPr>
                <w:rFonts w:cs="Times New Roman"/>
                <w:bCs/>
                <w:noProof/>
                <w:sz w:val="20"/>
                <w:szCs w:val="20"/>
              </w:rPr>
            </w:pPr>
            <w:r>
              <w:rPr>
                <w:rFonts w:cs="Times New Roman"/>
                <w:noProof/>
                <w:sz w:val="20"/>
                <w:szCs w:val="20"/>
                <w:lang w:val="hr"/>
              </w:rPr>
              <w:t>Navedite tijelo odgovorno / tijela odgovorna za te mehanizme.</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563BE2DE" w14:textId="77777777" w:rsidR="00CB4EBF" w:rsidRPr="001C431F" w:rsidRDefault="00CB4EBF" w:rsidP="0054762C">
            <w:pPr>
              <w:spacing w:after="0"/>
              <w:jc w:val="both"/>
              <w:rPr>
                <w:rFonts w:cs="Times New Roman"/>
                <w:noProof/>
                <w:sz w:val="20"/>
                <w:szCs w:val="20"/>
              </w:rPr>
            </w:pPr>
          </w:p>
        </w:tc>
      </w:tr>
    </w:tbl>
    <w:p w14:paraId="60129877" w14:textId="77777777" w:rsidR="00CB4EBF" w:rsidRPr="001C431F" w:rsidRDefault="00CB4EBF" w:rsidP="00CB4EBF">
      <w:pPr>
        <w:spacing w:after="0"/>
        <w:jc w:val="both"/>
        <w:rPr>
          <w:rFonts w:cs="Times New Roman"/>
          <w:sz w:val="20"/>
          <w:szCs w:val="20"/>
        </w:rPr>
      </w:pPr>
      <w:bookmarkStart w:id="10" w:name="ControlPages"/>
      <w:bookmarkEnd w:id="10"/>
    </w:p>
    <w:p w14:paraId="446FE44C" w14:textId="77777777" w:rsidR="00CB4EBF" w:rsidRPr="001C431F" w:rsidRDefault="00CB4EBF" w:rsidP="00CB4EBF">
      <w:pPr>
        <w:spacing w:after="0"/>
        <w:jc w:val="both"/>
        <w:rPr>
          <w:rFonts w:cs="Times New Roman"/>
          <w:b/>
          <w:bCs/>
          <w:iCs/>
          <w:sz w:val="20"/>
          <w:szCs w:val="20"/>
        </w:rPr>
      </w:pPr>
      <w:r>
        <w:rPr>
          <w:rFonts w:cs="Times New Roman"/>
          <w:b/>
          <w:bCs/>
          <w:sz w:val="20"/>
          <w:szCs w:val="20"/>
          <w:lang w:val="hr"/>
        </w:rPr>
        <w:br w:type="page"/>
      </w:r>
    </w:p>
    <w:p w14:paraId="13961400" w14:textId="77777777" w:rsidR="00CB4EBF" w:rsidRPr="001C431F" w:rsidRDefault="00CB4EBF" w:rsidP="00CB4EBF">
      <w:pPr>
        <w:autoSpaceDE w:val="0"/>
        <w:autoSpaceDN w:val="0"/>
        <w:adjustRightInd w:val="0"/>
        <w:spacing w:after="0" w:line="240" w:lineRule="auto"/>
        <w:jc w:val="both"/>
        <w:rPr>
          <w:rFonts w:cs="Times New Roman"/>
          <w:b/>
          <w:bCs/>
          <w:i/>
          <w:iCs/>
          <w:sz w:val="20"/>
          <w:szCs w:val="20"/>
        </w:rPr>
      </w:pPr>
    </w:p>
    <w:p w14:paraId="7F89F60C" w14:textId="77777777" w:rsidR="00CB4EBF" w:rsidRPr="001C431F" w:rsidRDefault="00CB4EBF" w:rsidP="00CB4EBF">
      <w:pPr>
        <w:autoSpaceDE w:val="0"/>
        <w:autoSpaceDN w:val="0"/>
        <w:adjustRightInd w:val="0"/>
        <w:spacing w:after="0" w:line="240" w:lineRule="auto"/>
        <w:jc w:val="both"/>
        <w:rPr>
          <w:rFonts w:cs="Times New Roman"/>
          <w:b/>
          <w:bCs/>
          <w:i/>
          <w:iCs/>
          <w:sz w:val="20"/>
          <w:szCs w:val="20"/>
        </w:rPr>
      </w:pPr>
      <w:r>
        <w:rPr>
          <w:rFonts w:cs="Times New Roman"/>
          <w:b/>
          <w:bCs/>
          <w:i/>
          <w:iCs/>
          <w:sz w:val="20"/>
          <w:szCs w:val="20"/>
          <w:lang w:val="hr"/>
        </w:rPr>
        <w:t>Dodatak 3.</w:t>
      </w:r>
    </w:p>
    <w:p w14:paraId="6AB13772" w14:textId="77777777" w:rsidR="00CB4EBF" w:rsidRPr="001C431F" w:rsidRDefault="00CB4EBF" w:rsidP="00CB4EBF">
      <w:pPr>
        <w:autoSpaceDE w:val="0"/>
        <w:autoSpaceDN w:val="0"/>
        <w:adjustRightInd w:val="0"/>
        <w:spacing w:after="0" w:line="240" w:lineRule="auto"/>
        <w:jc w:val="both"/>
        <w:rPr>
          <w:rFonts w:cs="Times New Roman"/>
          <w:b/>
          <w:bCs/>
          <w:iCs/>
          <w:sz w:val="20"/>
          <w:szCs w:val="20"/>
        </w:rPr>
      </w:pPr>
    </w:p>
    <w:p w14:paraId="2BA911D1" w14:textId="77777777" w:rsidR="00CB4EBF" w:rsidRPr="001C431F" w:rsidRDefault="00CB4EBF" w:rsidP="00CB4EBF">
      <w:pPr>
        <w:autoSpaceDE w:val="0"/>
        <w:autoSpaceDN w:val="0"/>
        <w:adjustRightInd w:val="0"/>
        <w:spacing w:after="0" w:line="240" w:lineRule="auto"/>
        <w:jc w:val="both"/>
        <w:rPr>
          <w:rFonts w:cs="Times New Roman"/>
          <w:b/>
          <w:bCs/>
          <w:iCs/>
          <w:sz w:val="20"/>
          <w:szCs w:val="20"/>
        </w:rPr>
      </w:pPr>
      <w:bookmarkStart w:id="11" w:name="_Hlk98773497"/>
      <w:r>
        <w:rPr>
          <w:rFonts w:cs="Times New Roman"/>
          <w:b/>
          <w:bCs/>
          <w:sz w:val="20"/>
          <w:szCs w:val="20"/>
          <w:lang w:val="hr"/>
        </w:rPr>
        <w:t xml:space="preserve">Popis planiranih operacija od strateške važnosti i njihov vremenski raspored </w:t>
      </w:r>
      <w:bookmarkEnd w:id="11"/>
      <w:r>
        <w:rPr>
          <w:rFonts w:cs="Times New Roman"/>
          <w:b/>
          <w:bCs/>
          <w:sz w:val="20"/>
          <w:szCs w:val="20"/>
          <w:lang w:val="hr"/>
        </w:rPr>
        <w:t>– članak 17. stavak 3.</w:t>
      </w:r>
    </w:p>
    <w:p w14:paraId="101D4D01" w14:textId="77777777" w:rsidR="00CB4EBF" w:rsidRPr="001C431F" w:rsidRDefault="00CB4EBF" w:rsidP="00CB4EBF">
      <w:pPr>
        <w:autoSpaceDE w:val="0"/>
        <w:autoSpaceDN w:val="0"/>
        <w:adjustRightInd w:val="0"/>
        <w:spacing w:after="0" w:line="240" w:lineRule="auto"/>
        <w:jc w:val="both"/>
        <w:rPr>
          <w:rFonts w:cs="Times New Roman"/>
          <w:b/>
          <w:sz w:val="20"/>
          <w:szCs w:val="20"/>
        </w:rPr>
      </w:pPr>
      <w:r>
        <w:rPr>
          <w:rFonts w:cs="Times New Roman"/>
          <w:b/>
          <w:bCs/>
          <w:sz w:val="20"/>
          <w:szCs w:val="20"/>
          <w:lang w:val="hr"/>
        </w:rPr>
        <w:t>nije primjenjivo</w:t>
      </w:r>
      <w:r>
        <w:rPr>
          <w:rStyle w:val="FootnoteReference"/>
          <w:rFonts w:cs="Times New Roman"/>
          <w:b/>
          <w:bCs/>
          <w:sz w:val="20"/>
          <w:szCs w:val="20"/>
          <w:lang w:val="hr"/>
        </w:rPr>
        <w:footnoteReference w:id="16"/>
      </w:r>
    </w:p>
    <w:p w14:paraId="4F1FDD2E" w14:textId="77777777" w:rsidR="00CB4EBF" w:rsidRPr="001C431F" w:rsidRDefault="00CB4EBF" w:rsidP="00CB4EBF">
      <w:pPr>
        <w:spacing w:after="0"/>
        <w:jc w:val="both"/>
        <w:rPr>
          <w:rFonts w:cs="Times New Roman"/>
          <w:bCs/>
          <w:i/>
          <w:iCs/>
          <w:sz w:val="20"/>
          <w:szCs w:val="20"/>
        </w:rPr>
      </w:pPr>
      <w:r>
        <w:rPr>
          <w:rFonts w:cs="Times New Roman"/>
          <w:i/>
          <w:iCs/>
          <w:sz w:val="20"/>
          <w:szCs w:val="20"/>
          <w:lang w:val="hr"/>
        </w:rPr>
        <w:t>Polje za unos teksta [2 000]</w:t>
      </w:r>
    </w:p>
    <w:p w14:paraId="147501EF" w14:textId="77777777" w:rsidR="00CB4EBF" w:rsidRPr="001C431F" w:rsidRDefault="00CB4EBF" w:rsidP="00CB4EBF">
      <w:pPr>
        <w:spacing w:after="0"/>
        <w:jc w:val="both"/>
        <w:rPr>
          <w:rFonts w:eastAsia="Times New Roman" w:cs="Times New Roman"/>
          <w:bCs/>
          <w:iCs/>
          <w:sz w:val="20"/>
          <w:szCs w:val="20"/>
        </w:rPr>
      </w:pPr>
    </w:p>
    <w:p w14:paraId="67D7E798" w14:textId="77777777" w:rsidR="00CB4EBF" w:rsidRPr="0090125E" w:rsidRDefault="00CB4EBF" w:rsidP="00CB4EBF">
      <w:pPr>
        <w:spacing w:after="0"/>
        <w:jc w:val="both"/>
        <w:rPr>
          <w:sz w:val="20"/>
        </w:rPr>
      </w:pPr>
    </w:p>
    <w:p w14:paraId="60DC8DC8" w14:textId="77777777" w:rsidR="00CB4EBF" w:rsidRPr="001C431F" w:rsidRDefault="00CB4EBF" w:rsidP="00CB4EBF">
      <w:pPr>
        <w:spacing w:after="0"/>
        <w:jc w:val="both"/>
        <w:rPr>
          <w:rFonts w:eastAsia="Times New Roman" w:cs="Times New Roman"/>
          <w:bCs/>
          <w:iCs/>
          <w:sz w:val="20"/>
          <w:szCs w:val="20"/>
        </w:rPr>
      </w:pPr>
    </w:p>
    <w:p w14:paraId="08380A26" w14:textId="77777777" w:rsidR="00CB4EBF" w:rsidRPr="001C431F" w:rsidRDefault="00CB4EBF" w:rsidP="00CB4EBF">
      <w:pPr>
        <w:spacing w:after="0"/>
        <w:jc w:val="both"/>
        <w:rPr>
          <w:rFonts w:cs="Times New Roman"/>
          <w:sz w:val="20"/>
          <w:szCs w:val="20"/>
        </w:rPr>
      </w:pPr>
      <w:r>
        <w:rPr>
          <w:rFonts w:cs="Times New Roman"/>
          <w:sz w:val="20"/>
          <w:szCs w:val="20"/>
          <w:lang w:val="hr"/>
        </w:rPr>
        <w:t>_____________</w:t>
      </w:r>
    </w:p>
    <w:p w14:paraId="68EA1B22" w14:textId="77777777" w:rsidR="00CB4EBF" w:rsidRPr="001C431F" w:rsidRDefault="00CB4EBF" w:rsidP="00CB4EBF">
      <w:pPr>
        <w:spacing w:after="0"/>
        <w:jc w:val="both"/>
        <w:rPr>
          <w:rFonts w:cs="Times New Roman"/>
          <w:sz w:val="20"/>
          <w:szCs w:val="20"/>
        </w:rPr>
      </w:pPr>
    </w:p>
    <w:p w14:paraId="781FE48E" w14:textId="77777777" w:rsidR="00CB4EBF" w:rsidRPr="009C05AA" w:rsidRDefault="00CB4EBF" w:rsidP="00CB4EBF">
      <w:pPr>
        <w:spacing w:after="0"/>
        <w:jc w:val="both"/>
        <w:rPr>
          <w:b/>
          <w:sz w:val="20"/>
        </w:rPr>
      </w:pPr>
    </w:p>
    <w:p w14:paraId="384F1457" w14:textId="77777777" w:rsidR="003437D0" w:rsidRPr="0086186A" w:rsidRDefault="003437D0" w:rsidP="00D312B6">
      <w:pPr>
        <w:spacing w:after="0" w:line="240" w:lineRule="auto"/>
        <w:jc w:val="both"/>
        <w:rPr>
          <w:b/>
          <w:sz w:val="20"/>
          <w:lang w:val="hr-HR"/>
        </w:rPr>
      </w:pPr>
    </w:p>
    <w:sectPr w:rsidR="003437D0" w:rsidRPr="0086186A" w:rsidSect="006C2922">
      <w:headerReference w:type="even" r:id="rId44"/>
      <w:headerReference w:type="default" r:id="rId45"/>
      <w:footerReference w:type="even" r:id="rId46"/>
      <w:footerReference w:type="default" r:id="rId47"/>
      <w:headerReference w:type="first" r:id="rId48"/>
      <w:footerReference w:type="first" r:id="rId4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50E32" w14:textId="77777777" w:rsidR="00E06A33" w:rsidRDefault="00E06A33">
      <w:pPr>
        <w:spacing w:after="0" w:line="240" w:lineRule="auto"/>
      </w:pPr>
      <w:r>
        <w:separator/>
      </w:r>
    </w:p>
  </w:endnote>
  <w:endnote w:type="continuationSeparator" w:id="0">
    <w:p w14:paraId="382CAFE7" w14:textId="77777777" w:rsidR="00E06A33" w:rsidRDefault="00E06A33">
      <w:pPr>
        <w:spacing w:after="0" w:line="240" w:lineRule="auto"/>
      </w:pPr>
      <w:r>
        <w:continuationSeparator/>
      </w:r>
    </w:p>
  </w:endnote>
  <w:endnote w:type="continuationNotice" w:id="1">
    <w:p w14:paraId="301E28DE" w14:textId="77777777" w:rsidR="00E06A33" w:rsidRDefault="00E06A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696068"/>
      <w:docPartObj>
        <w:docPartGallery w:val="Page Numbers (Bottom of Page)"/>
        <w:docPartUnique/>
      </w:docPartObj>
    </w:sdtPr>
    <w:sdtEndPr/>
    <w:sdtContent>
      <w:p w14:paraId="7D229A36" w14:textId="64FE3D01" w:rsidR="0084079C" w:rsidRDefault="0084079C">
        <w:pPr>
          <w:pStyle w:val="Footer"/>
          <w:jc w:val="center"/>
        </w:pPr>
        <w:r w:rsidRPr="00A759BC">
          <w:rPr>
            <w:lang w:val="hu-HU"/>
          </w:rPr>
          <w:fldChar w:fldCharType="begin"/>
        </w:r>
        <w:r>
          <w:rPr>
            <w:noProof/>
            <w:lang w:val="hu-HU"/>
          </w:rPr>
          <w:instrText>PAGE   \* MERGEFORMAT</w:instrText>
        </w:r>
        <w:r w:rsidRPr="00A759BC">
          <w:rPr>
            <w:lang w:val="hu-HU"/>
          </w:rPr>
          <w:fldChar w:fldCharType="separate"/>
        </w:r>
        <w:r w:rsidR="00B1222F">
          <w:rPr>
            <w:noProof/>
            <w:lang w:val="hu-HU"/>
          </w:rPr>
          <w:t>4</w:t>
        </w:r>
        <w:r w:rsidR="00B1222F">
          <w:rPr>
            <w:noProof/>
            <w:lang w:val="hu-HU"/>
          </w:rPr>
          <w:t>7</w:t>
        </w:r>
        <w:r w:rsidRPr="00A759BC">
          <w:rPr>
            <w:lang w:val="hu-HU"/>
          </w:rPr>
          <w:fldChar w:fldCharType="end"/>
        </w:r>
      </w:p>
    </w:sdtContent>
  </w:sdt>
  <w:p w14:paraId="33831416" w14:textId="77777777" w:rsidR="0084079C" w:rsidRDefault="0084079C" w:rsidP="00076572">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9128B" w14:textId="77777777" w:rsidR="00CB4EBF" w:rsidRDefault="00CB4EBF">
    <w:pPr>
      <w:pStyle w:val="Footer"/>
      <w:pBdr>
        <w:top w:val="single" w:sz="4" w:space="1" w:color="808080"/>
      </w:pBdr>
      <w:jc w:val="right"/>
      <w:rPr>
        <w:rStyle w:val="PageNumber"/>
      </w:rPr>
    </w:pPr>
    <w:r>
      <w:rPr>
        <w:rStyle w:val="PageNumber"/>
        <w:lang w:val="hr"/>
      </w:rPr>
      <w:fldChar w:fldCharType="begin"/>
    </w:r>
    <w:r>
      <w:rPr>
        <w:rStyle w:val="PageNumber"/>
        <w:lang w:val="hr"/>
      </w:rPr>
      <w:instrText xml:space="preserve"> PAGE </w:instrText>
    </w:r>
    <w:r>
      <w:rPr>
        <w:rStyle w:val="PageNumber"/>
        <w:lang w:val="hr"/>
      </w:rPr>
      <w:fldChar w:fldCharType="separate"/>
    </w:r>
    <w:r>
      <w:rPr>
        <w:rStyle w:val="PageNumber"/>
        <w:noProof/>
        <w:lang w:val="hr"/>
      </w:rPr>
      <w:t>9</w:t>
    </w:r>
    <w:r>
      <w:rPr>
        <w:rStyle w:val="PageNumber"/>
        <w:lang w:val="h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239952"/>
      <w:docPartObj>
        <w:docPartGallery w:val="Page Numbers (Bottom of Page)"/>
        <w:docPartUnique/>
      </w:docPartObj>
    </w:sdtPr>
    <w:sdtEndPr>
      <w:rPr>
        <w:noProof/>
      </w:rPr>
    </w:sdtEndPr>
    <w:sdtContent>
      <w:p w14:paraId="0AAC8F04" w14:textId="77777777" w:rsidR="00CB4EBF" w:rsidRDefault="00CB4EBF">
        <w:pPr>
          <w:pStyle w:val="Footer"/>
          <w:jc w:val="center"/>
        </w:pPr>
        <w:r>
          <w:rPr>
            <w:noProof/>
            <w:lang w:val="hr"/>
          </w:rPr>
          <w:fldChar w:fldCharType="begin"/>
        </w:r>
        <w:r>
          <w:rPr>
            <w:noProof/>
            <w:lang w:val="hr"/>
          </w:rPr>
          <w:instrText xml:space="preserve"> PAGE   \* MERGEFORMAT </w:instrText>
        </w:r>
        <w:r>
          <w:rPr>
            <w:noProof/>
            <w:lang w:val="hr"/>
          </w:rPr>
          <w:fldChar w:fldCharType="separate"/>
        </w:r>
        <w:r>
          <w:rPr>
            <w:noProof/>
            <w:lang w:val="hr"/>
          </w:rPr>
          <w:t>6</w:t>
        </w:r>
        <w:r>
          <w:rPr>
            <w:noProof/>
            <w:lang w:val="hr"/>
          </w:rPr>
          <w:t>1</w:t>
        </w:r>
        <w:r>
          <w:rPr>
            <w:noProof/>
            <w:lang w:val="hr"/>
          </w:rPr>
          <w:fldChar w:fldCharType="end"/>
        </w:r>
      </w:p>
    </w:sdtContent>
  </w:sdt>
  <w:p w14:paraId="18F74FF7" w14:textId="77777777" w:rsidR="00CB4EBF" w:rsidRDefault="00CB4EB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183A7" w14:textId="77777777" w:rsidR="00CB4EBF" w:rsidRPr="000C035E" w:rsidRDefault="00CB4EBF" w:rsidP="007C53A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219"/>
      <w:gridCol w:w="1317"/>
      <w:gridCol w:w="1134"/>
      <w:gridCol w:w="189"/>
      <w:gridCol w:w="1346"/>
      <w:gridCol w:w="798"/>
      <w:gridCol w:w="1069"/>
    </w:tblGrid>
    <w:tr w:rsidR="00CB4EBF" w:rsidRPr="00D94637" w14:paraId="6A9C9871" w14:textId="77777777" w:rsidTr="007C53AF">
      <w:trPr>
        <w:jc w:val="center"/>
      </w:trPr>
      <w:tc>
        <w:tcPr>
          <w:tcW w:w="5000" w:type="pct"/>
          <w:gridSpan w:val="7"/>
          <w:shd w:val="clear" w:color="auto" w:fill="auto"/>
          <w:tcMar>
            <w:top w:w="57" w:type="dxa"/>
          </w:tcMar>
        </w:tcPr>
        <w:p w14:paraId="2C0583C3" w14:textId="77777777" w:rsidR="00CB4EBF" w:rsidRPr="00D94637" w:rsidRDefault="00CB4EBF" w:rsidP="007C53AF">
          <w:pPr>
            <w:pStyle w:val="FooterText"/>
            <w:pBdr>
              <w:top w:val="single" w:sz="4" w:space="1" w:color="auto"/>
            </w:pBdr>
            <w:spacing w:before="200"/>
            <w:rPr>
              <w:sz w:val="2"/>
              <w:szCs w:val="2"/>
            </w:rPr>
          </w:pPr>
        </w:p>
      </w:tc>
    </w:tr>
    <w:tr w:rsidR="00CB4EBF" w:rsidRPr="00B310DC" w14:paraId="1364B69D" w14:textId="77777777" w:rsidTr="007C53AF">
      <w:trPr>
        <w:jc w:val="center"/>
      </w:trPr>
      <w:tc>
        <w:tcPr>
          <w:tcW w:w="2500" w:type="pct"/>
          <w:gridSpan w:val="2"/>
          <w:shd w:val="clear" w:color="auto" w:fill="auto"/>
          <w:tcMar>
            <w:top w:w="0" w:type="dxa"/>
          </w:tcMar>
        </w:tcPr>
        <w:p w14:paraId="149127A1" w14:textId="77777777" w:rsidR="00CB4EBF" w:rsidRPr="00AD7BF2" w:rsidRDefault="00CB4EBF" w:rsidP="007C53AF">
          <w:pPr>
            <w:pStyle w:val="FooterText"/>
          </w:pPr>
        </w:p>
      </w:tc>
      <w:tc>
        <w:tcPr>
          <w:tcW w:w="625" w:type="pct"/>
          <w:shd w:val="clear" w:color="auto" w:fill="auto"/>
          <w:tcMar>
            <w:top w:w="0" w:type="dxa"/>
          </w:tcMar>
        </w:tcPr>
        <w:p w14:paraId="1FAA19A4" w14:textId="77777777" w:rsidR="00CB4EBF" w:rsidRPr="00AD7BF2" w:rsidRDefault="00CB4EBF" w:rsidP="007C53AF">
          <w:pPr>
            <w:pStyle w:val="FooterText"/>
            <w:jc w:val="center"/>
          </w:pPr>
        </w:p>
      </w:tc>
      <w:tc>
        <w:tcPr>
          <w:tcW w:w="1286" w:type="pct"/>
          <w:gridSpan w:val="3"/>
          <w:shd w:val="clear" w:color="auto" w:fill="auto"/>
          <w:tcMar>
            <w:top w:w="0" w:type="dxa"/>
          </w:tcMar>
        </w:tcPr>
        <w:p w14:paraId="5BA66D5C" w14:textId="77777777" w:rsidR="00CB4EBF" w:rsidRPr="002511D8" w:rsidRDefault="00CB4EBF" w:rsidP="007C53AF">
          <w:pPr>
            <w:pStyle w:val="FooterText"/>
            <w:jc w:val="center"/>
          </w:pPr>
        </w:p>
      </w:tc>
      <w:tc>
        <w:tcPr>
          <w:tcW w:w="589" w:type="pct"/>
          <w:shd w:val="clear" w:color="auto" w:fill="auto"/>
          <w:tcMar>
            <w:top w:w="0" w:type="dxa"/>
          </w:tcMar>
        </w:tcPr>
        <w:p w14:paraId="1ABE58E3" w14:textId="77777777" w:rsidR="00CB4EBF" w:rsidRPr="00B310DC" w:rsidRDefault="00CB4EBF" w:rsidP="007C53AF">
          <w:pPr>
            <w:pStyle w:val="FooterText"/>
            <w:jc w:val="right"/>
          </w:pPr>
          <w:r>
            <w:rPr>
              <w:noProof/>
              <w:lang w:val="hr"/>
            </w:rPr>
            <w:fldChar w:fldCharType="begin"/>
          </w:r>
          <w:r>
            <w:rPr>
              <w:noProof/>
              <w:lang w:val="hr"/>
            </w:rPr>
            <w:instrText xml:space="preserve"> PAGE  \* MERGEFORMAT </w:instrText>
          </w:r>
          <w:r>
            <w:rPr>
              <w:noProof/>
              <w:lang w:val="hr"/>
            </w:rPr>
            <w:fldChar w:fldCharType="separate"/>
          </w:r>
          <w:r>
            <w:rPr>
              <w:noProof/>
              <w:lang w:val="hr"/>
            </w:rPr>
            <w:t>6</w:t>
          </w:r>
          <w:r>
            <w:rPr>
              <w:noProof/>
              <w:lang w:val="hr"/>
            </w:rPr>
            <w:t>4</w:t>
          </w:r>
          <w:r>
            <w:rPr>
              <w:noProof/>
              <w:lang w:val="hr"/>
            </w:rPr>
            <w:fldChar w:fldCharType="end"/>
          </w:r>
        </w:p>
      </w:tc>
    </w:tr>
    <w:tr w:rsidR="00CB4EBF" w:rsidRPr="00D94637" w14:paraId="352315CB" w14:textId="77777777" w:rsidTr="007C53AF">
      <w:trPr>
        <w:jc w:val="center"/>
      </w:trPr>
      <w:tc>
        <w:tcPr>
          <w:tcW w:w="1774" w:type="pct"/>
          <w:shd w:val="clear" w:color="auto" w:fill="auto"/>
        </w:tcPr>
        <w:p w14:paraId="19BE56B7" w14:textId="77777777" w:rsidR="00CB4EBF" w:rsidRPr="00AD7BF2" w:rsidRDefault="00CB4EBF" w:rsidP="007C53AF">
          <w:pPr>
            <w:pStyle w:val="FooterText"/>
            <w:spacing w:before="40"/>
          </w:pPr>
        </w:p>
      </w:tc>
      <w:tc>
        <w:tcPr>
          <w:tcW w:w="1455" w:type="pct"/>
          <w:gridSpan w:val="3"/>
          <w:shd w:val="clear" w:color="auto" w:fill="auto"/>
        </w:tcPr>
        <w:p w14:paraId="36116E5E" w14:textId="77777777" w:rsidR="00CB4EBF" w:rsidRPr="00AD7BF2" w:rsidRDefault="00CB4EBF" w:rsidP="007C53AF">
          <w:pPr>
            <w:pStyle w:val="FooterText"/>
            <w:spacing w:before="40"/>
            <w:jc w:val="center"/>
          </w:pPr>
        </w:p>
      </w:tc>
      <w:tc>
        <w:tcPr>
          <w:tcW w:w="742" w:type="pct"/>
          <w:shd w:val="clear" w:color="auto" w:fill="auto"/>
        </w:tcPr>
        <w:p w14:paraId="55C3D55A" w14:textId="77777777" w:rsidR="00CB4EBF" w:rsidRPr="00D94637" w:rsidRDefault="00CB4EBF" w:rsidP="007C53AF">
          <w:pPr>
            <w:pStyle w:val="FooterText"/>
            <w:jc w:val="center"/>
            <w:rPr>
              <w:b/>
              <w:position w:val="-4"/>
              <w:sz w:val="36"/>
            </w:rPr>
          </w:pPr>
        </w:p>
      </w:tc>
      <w:tc>
        <w:tcPr>
          <w:tcW w:w="1029" w:type="pct"/>
          <w:gridSpan w:val="2"/>
          <w:shd w:val="clear" w:color="auto" w:fill="auto"/>
        </w:tcPr>
        <w:p w14:paraId="54DCC94B" w14:textId="77777777" w:rsidR="00CB4EBF" w:rsidRPr="000310C2" w:rsidRDefault="00CB4EBF" w:rsidP="007C53AF">
          <w:pPr>
            <w:pStyle w:val="FooterText"/>
            <w:jc w:val="right"/>
            <w:rPr>
              <w:spacing w:val="-20"/>
              <w:sz w:val="16"/>
            </w:rPr>
          </w:pPr>
          <w:r>
            <w:rPr>
              <w:b/>
              <w:bCs/>
              <w:sz w:val="36"/>
              <w:lang w:val="hr"/>
            </w:rPr>
            <w:t>HR</w:t>
          </w:r>
        </w:p>
      </w:tc>
    </w:tr>
  </w:tbl>
  <w:p w14:paraId="1E07D488" w14:textId="77777777" w:rsidR="00CB4EBF" w:rsidRPr="000C035E" w:rsidRDefault="00CB4EBF" w:rsidP="007C53AF">
    <w:pPr>
      <w:pStyle w:val="FooterCouncil"/>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3293B" w14:textId="77777777" w:rsidR="00CB4EBF" w:rsidRPr="000C035E" w:rsidRDefault="00CB4EBF" w:rsidP="007C53AF">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0DFC5" w14:textId="77FC59A3" w:rsidR="00CB4EBF" w:rsidRPr="000C035E" w:rsidRDefault="00CB4EBF" w:rsidP="007C53AF">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219"/>
      <w:gridCol w:w="1317"/>
      <w:gridCol w:w="1134"/>
      <w:gridCol w:w="189"/>
      <w:gridCol w:w="1346"/>
      <w:gridCol w:w="798"/>
      <w:gridCol w:w="1069"/>
    </w:tblGrid>
    <w:tr w:rsidR="00CB4EBF" w:rsidRPr="00D94637" w14:paraId="337F4CDD" w14:textId="77777777" w:rsidTr="007C53AF">
      <w:trPr>
        <w:jc w:val="center"/>
      </w:trPr>
      <w:tc>
        <w:tcPr>
          <w:tcW w:w="5000" w:type="pct"/>
          <w:gridSpan w:val="7"/>
          <w:shd w:val="clear" w:color="auto" w:fill="auto"/>
          <w:tcMar>
            <w:top w:w="57" w:type="dxa"/>
          </w:tcMar>
        </w:tcPr>
        <w:p w14:paraId="71145149" w14:textId="77777777" w:rsidR="00CB4EBF" w:rsidRPr="00D94637" w:rsidRDefault="00CB4EBF" w:rsidP="007C53AF">
          <w:pPr>
            <w:pStyle w:val="FooterText"/>
            <w:pBdr>
              <w:top w:val="single" w:sz="4" w:space="1" w:color="auto"/>
            </w:pBdr>
            <w:spacing w:before="200"/>
            <w:rPr>
              <w:sz w:val="2"/>
              <w:szCs w:val="2"/>
            </w:rPr>
          </w:pPr>
        </w:p>
      </w:tc>
    </w:tr>
    <w:tr w:rsidR="00CB4EBF" w:rsidRPr="00B310DC" w14:paraId="2B3B55EF" w14:textId="77777777" w:rsidTr="007C53AF">
      <w:trPr>
        <w:jc w:val="center"/>
      </w:trPr>
      <w:tc>
        <w:tcPr>
          <w:tcW w:w="2500" w:type="pct"/>
          <w:gridSpan w:val="2"/>
          <w:shd w:val="clear" w:color="auto" w:fill="auto"/>
          <w:tcMar>
            <w:top w:w="0" w:type="dxa"/>
          </w:tcMar>
        </w:tcPr>
        <w:p w14:paraId="35B49121" w14:textId="77777777" w:rsidR="00CB4EBF" w:rsidRPr="00AD7BF2" w:rsidRDefault="00CB4EBF" w:rsidP="007C53AF">
          <w:pPr>
            <w:pStyle w:val="FooterText"/>
          </w:pPr>
        </w:p>
      </w:tc>
      <w:tc>
        <w:tcPr>
          <w:tcW w:w="625" w:type="pct"/>
          <w:shd w:val="clear" w:color="auto" w:fill="auto"/>
          <w:tcMar>
            <w:top w:w="0" w:type="dxa"/>
          </w:tcMar>
        </w:tcPr>
        <w:p w14:paraId="6B306678" w14:textId="77777777" w:rsidR="00CB4EBF" w:rsidRPr="00AD7BF2" w:rsidRDefault="00CB4EBF" w:rsidP="007C53AF">
          <w:pPr>
            <w:pStyle w:val="FooterText"/>
            <w:jc w:val="center"/>
          </w:pPr>
        </w:p>
      </w:tc>
      <w:tc>
        <w:tcPr>
          <w:tcW w:w="1286" w:type="pct"/>
          <w:gridSpan w:val="3"/>
          <w:shd w:val="clear" w:color="auto" w:fill="auto"/>
          <w:tcMar>
            <w:top w:w="0" w:type="dxa"/>
          </w:tcMar>
        </w:tcPr>
        <w:p w14:paraId="3AD7EE5F" w14:textId="77777777" w:rsidR="00CB4EBF" w:rsidRPr="002511D8" w:rsidRDefault="00CB4EBF" w:rsidP="007C53AF">
          <w:pPr>
            <w:pStyle w:val="FooterText"/>
            <w:jc w:val="center"/>
          </w:pPr>
        </w:p>
      </w:tc>
      <w:tc>
        <w:tcPr>
          <w:tcW w:w="589" w:type="pct"/>
          <w:shd w:val="clear" w:color="auto" w:fill="auto"/>
          <w:tcMar>
            <w:top w:w="0" w:type="dxa"/>
          </w:tcMar>
        </w:tcPr>
        <w:p w14:paraId="2707C4BE" w14:textId="77777777" w:rsidR="00CB4EBF" w:rsidRPr="00B310DC" w:rsidRDefault="00CB4EBF" w:rsidP="007C53AF">
          <w:pPr>
            <w:pStyle w:val="FooterText"/>
            <w:jc w:val="right"/>
          </w:pPr>
          <w:r>
            <w:rPr>
              <w:noProof/>
              <w:lang w:val="hr"/>
            </w:rPr>
            <w:fldChar w:fldCharType="begin"/>
          </w:r>
          <w:r>
            <w:rPr>
              <w:noProof/>
              <w:lang w:val="hr"/>
            </w:rPr>
            <w:instrText xml:space="preserve"> PAGE  \* MERGEFORMAT </w:instrText>
          </w:r>
          <w:r>
            <w:rPr>
              <w:noProof/>
              <w:lang w:val="hr"/>
            </w:rPr>
            <w:fldChar w:fldCharType="separate"/>
          </w:r>
          <w:r>
            <w:rPr>
              <w:noProof/>
              <w:lang w:val="hr"/>
            </w:rPr>
            <w:t>6</w:t>
          </w:r>
          <w:r>
            <w:rPr>
              <w:noProof/>
              <w:lang w:val="hr"/>
            </w:rPr>
            <w:t>5</w:t>
          </w:r>
          <w:r>
            <w:rPr>
              <w:noProof/>
              <w:lang w:val="hr"/>
            </w:rPr>
            <w:fldChar w:fldCharType="end"/>
          </w:r>
        </w:p>
      </w:tc>
    </w:tr>
    <w:tr w:rsidR="00CB4EBF" w:rsidRPr="00D94637" w14:paraId="155A7571" w14:textId="77777777" w:rsidTr="007C53AF">
      <w:trPr>
        <w:jc w:val="center"/>
      </w:trPr>
      <w:tc>
        <w:tcPr>
          <w:tcW w:w="1774" w:type="pct"/>
          <w:shd w:val="clear" w:color="auto" w:fill="auto"/>
        </w:tcPr>
        <w:p w14:paraId="1E5C8C44" w14:textId="77777777" w:rsidR="00CB4EBF" w:rsidRPr="00AD7BF2" w:rsidRDefault="00CB4EBF" w:rsidP="007C53AF">
          <w:pPr>
            <w:pStyle w:val="FooterText"/>
            <w:spacing w:before="40"/>
          </w:pPr>
        </w:p>
      </w:tc>
      <w:tc>
        <w:tcPr>
          <w:tcW w:w="1455" w:type="pct"/>
          <w:gridSpan w:val="3"/>
          <w:shd w:val="clear" w:color="auto" w:fill="auto"/>
        </w:tcPr>
        <w:p w14:paraId="5F7DC965" w14:textId="77777777" w:rsidR="00CB4EBF" w:rsidRPr="00AD7BF2" w:rsidRDefault="00CB4EBF" w:rsidP="007C53AF">
          <w:pPr>
            <w:pStyle w:val="FooterText"/>
            <w:spacing w:before="40"/>
            <w:jc w:val="center"/>
          </w:pPr>
        </w:p>
      </w:tc>
      <w:tc>
        <w:tcPr>
          <w:tcW w:w="742" w:type="pct"/>
          <w:shd w:val="clear" w:color="auto" w:fill="auto"/>
        </w:tcPr>
        <w:p w14:paraId="77A40679" w14:textId="77777777" w:rsidR="00CB4EBF" w:rsidRPr="00D94637" w:rsidRDefault="00CB4EBF" w:rsidP="007C53AF">
          <w:pPr>
            <w:pStyle w:val="FooterText"/>
            <w:jc w:val="center"/>
            <w:rPr>
              <w:b/>
              <w:position w:val="-4"/>
              <w:sz w:val="36"/>
            </w:rPr>
          </w:pPr>
        </w:p>
      </w:tc>
      <w:tc>
        <w:tcPr>
          <w:tcW w:w="1029" w:type="pct"/>
          <w:gridSpan w:val="2"/>
          <w:shd w:val="clear" w:color="auto" w:fill="auto"/>
        </w:tcPr>
        <w:p w14:paraId="6A99478A" w14:textId="77777777" w:rsidR="00CB4EBF" w:rsidRPr="000310C2" w:rsidRDefault="00CB4EBF" w:rsidP="007C53AF">
          <w:pPr>
            <w:pStyle w:val="FooterText"/>
            <w:jc w:val="right"/>
            <w:rPr>
              <w:spacing w:val="-20"/>
              <w:sz w:val="16"/>
            </w:rPr>
          </w:pPr>
          <w:r>
            <w:rPr>
              <w:b/>
              <w:bCs/>
              <w:sz w:val="36"/>
              <w:lang w:val="hr"/>
            </w:rPr>
            <w:t>HR</w:t>
          </w:r>
        </w:p>
      </w:tc>
    </w:tr>
  </w:tbl>
  <w:p w14:paraId="4A5830A3" w14:textId="77777777" w:rsidR="00CB4EBF" w:rsidRPr="000C035E" w:rsidRDefault="00CB4EBF" w:rsidP="007C53AF">
    <w:pPr>
      <w:pStyle w:val="FooterCouncil"/>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E23F4" w14:textId="303C22AF" w:rsidR="00CB4EBF" w:rsidRPr="000C035E" w:rsidRDefault="00CB4EBF" w:rsidP="007C53AF">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1DAB" w14:textId="77777777" w:rsidR="0084079C" w:rsidRDefault="0084079C">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E8C28" w14:textId="77777777" w:rsidR="0084079C" w:rsidRDefault="0084079C">
    <w:pPr>
      <w:pStyle w:val="Footer"/>
      <w:pBdr>
        <w:top w:val="single" w:sz="4" w:space="1" w:color="808080"/>
      </w:pBdr>
      <w:jc w:val="right"/>
      <w:rPr>
        <w:rStyle w:val="PageNumber"/>
      </w:rPr>
    </w:pPr>
    <w:r>
      <w:rPr>
        <w:rStyle w:val="PageNumber"/>
        <w:lang w:val="hr"/>
      </w:rPr>
      <w:fldChar w:fldCharType="begin"/>
    </w:r>
    <w:r>
      <w:rPr>
        <w:rStyle w:val="PageNumber"/>
        <w:lang w:val="hr"/>
      </w:rPr>
      <w:instrText xml:space="preserve"> PAGE </w:instrText>
    </w:r>
    <w:r>
      <w:rPr>
        <w:rStyle w:val="PageNumber"/>
        <w:lang w:val="hr"/>
      </w:rPr>
      <w:fldChar w:fldCharType="separate"/>
    </w:r>
    <w:r>
      <w:rPr>
        <w:rStyle w:val="PageNumber"/>
        <w:noProof/>
        <w:lang w:val="hr"/>
      </w:rPr>
      <w:t>6</w:t>
    </w:r>
    <w:r>
      <w:rPr>
        <w:rStyle w:val="PageNumber"/>
        <w:noProof/>
        <w:lang w:val="hr"/>
      </w:rPr>
      <w:t>8</w:t>
    </w:r>
    <w:r>
      <w:rPr>
        <w:rStyle w:val="PageNumber"/>
        <w:lang w:val="h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655220"/>
      <w:docPartObj>
        <w:docPartGallery w:val="Page Numbers (Bottom of Page)"/>
        <w:docPartUnique/>
      </w:docPartObj>
    </w:sdtPr>
    <w:sdtContent>
      <w:p w14:paraId="494EEA1B" w14:textId="77777777" w:rsidR="00CB4EBF" w:rsidRDefault="00CB4EBF">
        <w:pPr>
          <w:pStyle w:val="Footer"/>
          <w:jc w:val="center"/>
        </w:pPr>
        <w:r>
          <w:rPr>
            <w:lang w:val="hr"/>
          </w:rPr>
          <w:fldChar w:fldCharType="begin"/>
        </w:r>
        <w:r>
          <w:rPr>
            <w:noProof/>
            <w:lang w:val="hr"/>
          </w:rPr>
          <w:instrText>PAGE   \* MERGEFORMAT</w:instrText>
        </w:r>
        <w:r>
          <w:rPr>
            <w:lang w:val="hr"/>
          </w:rPr>
          <w:fldChar w:fldCharType="separate"/>
        </w:r>
        <w:r>
          <w:rPr>
            <w:noProof/>
            <w:lang w:val="hr"/>
          </w:rPr>
          <w:t>4</w:t>
        </w:r>
        <w:r>
          <w:rPr>
            <w:noProof/>
            <w:lang w:val="hr"/>
          </w:rPr>
          <w:t>7</w:t>
        </w:r>
        <w:r>
          <w:rPr>
            <w:lang w:val="hr"/>
          </w:rPr>
          <w:fldChar w:fldCharType="end"/>
        </w:r>
      </w:p>
    </w:sdtContent>
  </w:sdt>
  <w:p w14:paraId="494EEA1B" w14:textId="77777777" w:rsidR="00CB4EBF" w:rsidRDefault="00CB4EBF" w:rsidP="00076572">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763861"/>
      <w:docPartObj>
        <w:docPartGallery w:val="Page Numbers (Bottom of Page)"/>
        <w:docPartUnique/>
      </w:docPartObj>
    </w:sdtPr>
    <w:sdtEndPr>
      <w:rPr>
        <w:noProof/>
      </w:rPr>
    </w:sdtEndPr>
    <w:sdtContent>
      <w:p w14:paraId="7B7E8A15" w14:textId="77777777" w:rsidR="0084079C" w:rsidRDefault="0084079C">
        <w:pPr>
          <w:pStyle w:val="Footer"/>
          <w:jc w:val="center"/>
        </w:pPr>
        <w:r>
          <w:rPr>
            <w:noProof/>
            <w:lang w:val="hr"/>
          </w:rPr>
          <w:fldChar w:fldCharType="begin"/>
        </w:r>
        <w:r>
          <w:rPr>
            <w:noProof/>
            <w:lang w:val="hr"/>
          </w:rPr>
          <w:instrText xml:space="preserve"> PAGE   \* MERGEFORMAT </w:instrText>
        </w:r>
        <w:r>
          <w:rPr>
            <w:noProof/>
            <w:lang w:val="hr"/>
          </w:rPr>
          <w:fldChar w:fldCharType="separate"/>
        </w:r>
        <w:r>
          <w:rPr>
            <w:noProof/>
            <w:lang w:val="hr"/>
          </w:rPr>
          <w:t>6</w:t>
        </w:r>
        <w:r>
          <w:rPr>
            <w:noProof/>
            <w:lang w:val="hr"/>
          </w:rPr>
          <w:t>6</w:t>
        </w:r>
        <w:r>
          <w:rPr>
            <w:noProof/>
            <w:lang w:val="hr"/>
          </w:rPr>
          <w:fldChar w:fldCharType="end"/>
        </w:r>
      </w:p>
    </w:sdtContent>
  </w:sdt>
  <w:p w14:paraId="40844296" w14:textId="77777777" w:rsidR="0084079C" w:rsidRDefault="008407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EA1B" w14:textId="77777777" w:rsidR="00CB4EBF" w:rsidRDefault="00CB4E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255266"/>
      <w:docPartObj>
        <w:docPartGallery w:val="Page Numbers (Bottom of Page)"/>
        <w:docPartUnique/>
      </w:docPartObj>
    </w:sdtPr>
    <w:sdtEndPr>
      <w:rPr>
        <w:noProof/>
      </w:rPr>
    </w:sdtEndPr>
    <w:sdtContent>
      <w:p w14:paraId="494EEA1B" w14:textId="77777777" w:rsidR="00CB4EBF" w:rsidRDefault="00CB4EBF">
        <w:pPr>
          <w:pStyle w:val="Footer"/>
          <w:jc w:val="center"/>
        </w:pPr>
        <w:r>
          <w:rPr>
            <w:noProof/>
            <w:lang w:val="hr"/>
          </w:rPr>
          <w:fldChar w:fldCharType="begin"/>
        </w:r>
        <w:r>
          <w:rPr>
            <w:noProof/>
            <w:lang w:val="hr"/>
          </w:rPr>
          <w:instrText xml:space="preserve"> PAGE   \* MERGEFORMAT </w:instrText>
        </w:r>
        <w:r>
          <w:rPr>
            <w:noProof/>
            <w:lang w:val="hr"/>
          </w:rPr>
          <w:fldChar w:fldCharType="separate"/>
        </w:r>
        <w:r>
          <w:rPr>
            <w:noProof/>
            <w:lang w:val="hr"/>
          </w:rPr>
          <w:t>4</w:t>
        </w:r>
        <w:r>
          <w:rPr>
            <w:noProof/>
            <w:lang w:val="hr"/>
          </w:rPr>
          <w:t>9</w:t>
        </w:r>
        <w:r>
          <w:rPr>
            <w:noProof/>
            <w:lang w:val="hr"/>
          </w:rPr>
          <w:fldChar w:fldCharType="end"/>
        </w:r>
      </w:p>
    </w:sdtContent>
  </w:sdt>
  <w:p w14:paraId="494EEA1B" w14:textId="77777777" w:rsidR="00CB4EBF" w:rsidRDefault="00CB4EBF">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B67E" w14:textId="77777777" w:rsidR="00CB4EBF" w:rsidRDefault="00CB4EB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A9729" w14:textId="77777777" w:rsidR="00CB4EBF" w:rsidRDefault="00CB4EB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542025"/>
      <w:docPartObj>
        <w:docPartGallery w:val="Page Numbers (Bottom of Page)"/>
        <w:docPartUnique/>
      </w:docPartObj>
    </w:sdtPr>
    <w:sdtEndPr>
      <w:rPr>
        <w:noProof/>
      </w:rPr>
    </w:sdtEndPr>
    <w:sdtContent>
      <w:p w14:paraId="77363DC2" w14:textId="77777777" w:rsidR="00CB4EBF" w:rsidRDefault="00CB4EBF">
        <w:pPr>
          <w:pStyle w:val="Footer"/>
          <w:jc w:val="center"/>
        </w:pPr>
        <w:r>
          <w:rPr>
            <w:noProof/>
            <w:lang w:val="hr"/>
          </w:rPr>
          <w:fldChar w:fldCharType="begin"/>
        </w:r>
        <w:r>
          <w:rPr>
            <w:noProof/>
            <w:lang w:val="hr"/>
          </w:rPr>
          <w:instrText xml:space="preserve"> PAGE   \* MERGEFORMAT </w:instrText>
        </w:r>
        <w:r>
          <w:rPr>
            <w:noProof/>
            <w:lang w:val="hr"/>
          </w:rPr>
          <w:fldChar w:fldCharType="separate"/>
        </w:r>
        <w:r>
          <w:rPr>
            <w:noProof/>
            <w:lang w:val="hr"/>
          </w:rPr>
          <w:t>6</w:t>
        </w:r>
        <w:r>
          <w:rPr>
            <w:noProof/>
            <w:lang w:val="hr"/>
          </w:rPr>
          <w:t>0</w:t>
        </w:r>
        <w:r>
          <w:rPr>
            <w:noProof/>
            <w:lang w:val="hr"/>
          </w:rPr>
          <w:fldChar w:fldCharType="end"/>
        </w:r>
      </w:p>
    </w:sdtContent>
  </w:sdt>
  <w:p w14:paraId="76EC238D" w14:textId="77777777" w:rsidR="00CB4EBF" w:rsidRDefault="00CB4EBF" w:rsidP="007C53AF">
    <w:pPr>
      <w:pStyle w:val="Footer"/>
      <w:tabs>
        <w:tab w:val="left" w:pos="8137"/>
      </w:tabs>
      <w:rPr>
        <w:rStyle w:val="PageNumber"/>
      </w:rPr>
    </w:pPr>
    <w:r>
      <w:rPr>
        <w:rStyle w:val="PageNumber"/>
        <w:lang w:val="hr"/>
      </w:rPr>
      <w:tab/>
    </w:r>
    <w:r>
      <w:rPr>
        <w:rStyle w:val="PageNumber"/>
        <w:lang w:val="hr"/>
      </w:rPr>
      <w:tab/>
    </w:r>
    <w:r>
      <w:rPr>
        <w:rStyle w:val="PageNumber"/>
        <w:lang w:val="hr"/>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313523"/>
      <w:docPartObj>
        <w:docPartGallery w:val="Page Numbers (Bottom of Page)"/>
        <w:docPartUnique/>
      </w:docPartObj>
    </w:sdtPr>
    <w:sdtEndPr>
      <w:rPr>
        <w:noProof/>
      </w:rPr>
    </w:sdtEndPr>
    <w:sdtContent>
      <w:p w14:paraId="7B37DF07" w14:textId="77777777" w:rsidR="00CB4EBF" w:rsidRDefault="00CB4EBF">
        <w:pPr>
          <w:pStyle w:val="Footer"/>
          <w:jc w:val="center"/>
        </w:pPr>
        <w:r>
          <w:rPr>
            <w:noProof/>
            <w:lang w:val="hr"/>
          </w:rPr>
          <w:fldChar w:fldCharType="begin"/>
        </w:r>
        <w:r>
          <w:rPr>
            <w:noProof/>
            <w:lang w:val="hr"/>
          </w:rPr>
          <w:instrText xml:space="preserve"> PAGE   \* MERGEFORMAT </w:instrText>
        </w:r>
        <w:r>
          <w:rPr>
            <w:noProof/>
            <w:lang w:val="hr"/>
          </w:rPr>
          <w:fldChar w:fldCharType="separate"/>
        </w:r>
        <w:r>
          <w:rPr>
            <w:noProof/>
            <w:lang w:val="hr"/>
          </w:rPr>
          <w:t>5</w:t>
        </w:r>
        <w:r>
          <w:rPr>
            <w:noProof/>
            <w:lang w:val="hr"/>
          </w:rPr>
          <w:t>0</w:t>
        </w:r>
        <w:r>
          <w:rPr>
            <w:noProof/>
            <w:lang w:val="hr"/>
          </w:rPr>
          <w:fldChar w:fldCharType="end"/>
        </w:r>
      </w:p>
    </w:sdtContent>
  </w:sdt>
  <w:p w14:paraId="2973FCCA" w14:textId="77777777" w:rsidR="00CB4EBF" w:rsidRDefault="00CB4EB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960A2" w14:textId="77777777" w:rsidR="00CB4EBF" w:rsidRDefault="00CB4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99A33" w14:textId="77777777" w:rsidR="00E06A33" w:rsidRDefault="00E06A33">
      <w:pPr>
        <w:spacing w:after="0" w:line="240" w:lineRule="auto"/>
      </w:pPr>
      <w:r>
        <w:separator/>
      </w:r>
    </w:p>
  </w:footnote>
  <w:footnote w:type="continuationSeparator" w:id="0">
    <w:p w14:paraId="587C8B97" w14:textId="77777777" w:rsidR="00E06A33" w:rsidRDefault="00E06A33">
      <w:pPr>
        <w:spacing w:after="0" w:line="240" w:lineRule="auto"/>
      </w:pPr>
      <w:r>
        <w:continuationSeparator/>
      </w:r>
    </w:p>
  </w:footnote>
  <w:footnote w:type="continuationNotice" w:id="1">
    <w:p w14:paraId="611B1EF5" w14:textId="77777777" w:rsidR="00E06A33" w:rsidRDefault="00E06A33">
      <w:pPr>
        <w:spacing w:after="0" w:line="240" w:lineRule="auto"/>
      </w:pPr>
    </w:p>
  </w:footnote>
  <w:footnote w:id="2">
    <w:p w14:paraId="24AD55B4" w14:textId="77777777" w:rsidR="007E7ADF" w:rsidRPr="00C30A6A" w:rsidRDefault="007E7ADF" w:rsidP="007E7ADF">
      <w:pPr>
        <w:pStyle w:val="FootnoteText"/>
        <w:rPr>
          <w:rFonts w:eastAsia="Cambria" w:cs="Times New Roman"/>
          <w:lang w:val="en-US"/>
        </w:rPr>
      </w:pPr>
      <w:r>
        <w:rPr>
          <w:rStyle w:val="FootnoteReference"/>
        </w:rPr>
        <w:footnoteRef/>
      </w:r>
      <w:r>
        <w:t xml:space="preserve"> </w:t>
      </w:r>
      <w:hyperlink r:id="rId1" w:history="1">
        <w:r w:rsidRPr="00C30A6A">
          <w:rPr>
            <w:rFonts w:eastAsia="Cambria" w:cs="Times New Roman"/>
            <w:lang w:val="en-US"/>
          </w:rPr>
          <w:t>https://muraregio.eu/mukobridge/en/</w:t>
        </w:r>
      </w:hyperlink>
    </w:p>
  </w:footnote>
  <w:footnote w:id="3">
    <w:p w14:paraId="19D6E915" w14:textId="77777777" w:rsidR="00CB4EBF" w:rsidRPr="00455293" w:rsidRDefault="00CB4EBF" w:rsidP="00CB4EBF">
      <w:pPr>
        <w:pStyle w:val="FootnoteText"/>
      </w:pPr>
      <w:r>
        <w:rPr>
          <w:rStyle w:val="FootnoteReference"/>
          <w:lang w:val="hr"/>
        </w:rPr>
        <w:footnoteRef/>
      </w:r>
      <w:r>
        <w:rPr>
          <w:lang w:val="hr"/>
        </w:rPr>
        <w:t xml:space="preserve"> </w:t>
      </w:r>
      <w:r>
        <w:rPr>
          <w:lang w:val="hr"/>
        </w:rPr>
        <w:t>U trenutku podnošenja Programa pojedinosti sheme nisu dogovorene i bit će definirane kasnije.</w:t>
      </w:r>
    </w:p>
  </w:footnote>
  <w:footnote w:id="4">
    <w:p w14:paraId="64B88885" w14:textId="77777777" w:rsidR="00CB4EBF" w:rsidRPr="00AA5411" w:rsidRDefault="00CB4EBF" w:rsidP="00CB4EBF">
      <w:pPr>
        <w:pStyle w:val="FootnoteText"/>
      </w:pPr>
      <w:r>
        <w:rPr>
          <w:rStyle w:val="FootnoteReference"/>
          <w:lang w:val="hr"/>
        </w:rPr>
        <w:footnoteRef/>
      </w:r>
      <w:r>
        <w:rPr>
          <w:lang w:val="hr"/>
        </w:rPr>
        <w:t xml:space="preserve"> </w:t>
      </w:r>
      <w:bookmarkStart w:id="4" w:name="_Hlk99611586"/>
      <w:r>
        <w:rPr>
          <w:lang w:val="hr"/>
        </w:rPr>
        <w:t xml:space="preserve">Pojedinosti tablica pokazatelja ostvarenja i rezultata nisu konačne i mogu se izmijeniti tijekom postupka pregovora (vrijedi za cijeli dokument). </w:t>
      </w:r>
      <w:bookmarkEnd w:id="4"/>
    </w:p>
  </w:footnote>
  <w:footnote w:id="5">
    <w:p w14:paraId="165A4883" w14:textId="77777777" w:rsidR="00CB4EBF" w:rsidRPr="003A39F9" w:rsidRDefault="00CB4EBF" w:rsidP="00CB4EBF">
      <w:pPr>
        <w:pStyle w:val="FootnoteText"/>
      </w:pPr>
      <w:r>
        <w:rPr>
          <w:rStyle w:val="FootnoteReference"/>
          <w:lang w:val="hr"/>
        </w:rPr>
        <w:footnoteRef/>
      </w:r>
      <w:r>
        <w:rPr>
          <w:lang w:val="hr"/>
        </w:rPr>
        <w:t xml:space="preserve"> </w:t>
      </w:r>
      <w:r>
        <w:rPr>
          <w:lang w:val="hr"/>
        </w:rPr>
        <w:t>Pojedinosti tablica pokazatelja okvirne raščlambe sredstava programa EU-a nisu konačne i mogu se izmijeniti tijekom postupka pregovora (vrijedi za cijeli dokument).</w:t>
      </w:r>
    </w:p>
  </w:footnote>
  <w:footnote w:id="6">
    <w:p w14:paraId="209C762D" w14:textId="77777777" w:rsidR="00CB4EBF" w:rsidRPr="007B76F3" w:rsidRDefault="00CB4EBF" w:rsidP="00CB4EBF">
      <w:pPr>
        <w:pStyle w:val="FootnoteText"/>
      </w:pPr>
      <w:r>
        <w:rPr>
          <w:rStyle w:val="FootnoteReference"/>
          <w:lang w:val="hr"/>
        </w:rPr>
        <w:footnoteRef/>
      </w:r>
      <w:r>
        <w:rPr>
          <w:lang w:val="hr"/>
        </w:rPr>
        <w:t xml:space="preserve"> </w:t>
      </w:r>
      <w:r>
        <w:rPr>
          <w:lang w:val="hr"/>
        </w:rPr>
        <w:t>Države članice u programu pregovaraju o određenim elementima, što može dovesti do promjena u proračunu. Po potrebi će se izvršiti potrebne izmjene.</w:t>
      </w:r>
    </w:p>
  </w:footnote>
  <w:footnote w:id="7">
    <w:p w14:paraId="2D6E52BF" w14:textId="77777777" w:rsidR="00CB4EBF" w:rsidRPr="0090125E" w:rsidRDefault="00CB4EBF" w:rsidP="00CB4EBF">
      <w:pPr>
        <w:pStyle w:val="FootnoteText"/>
      </w:pPr>
      <w:r>
        <w:rPr>
          <w:rStyle w:val="FootnoteReference"/>
          <w:lang w:val="hr"/>
        </w:rPr>
        <w:footnoteRef/>
      </w:r>
      <w:r>
        <w:rPr>
          <w:lang w:val="hr"/>
        </w:rPr>
        <w:t xml:space="preserve"> </w:t>
      </w:r>
      <w:r>
        <w:rPr>
          <w:lang w:val="hr"/>
        </w:rPr>
        <w:t>Zbog trenutačno aktivnih pregovora između dviju država članica, odluka o korištenju manjeg projektnog fonda bit će donesena kasnije.</w:t>
      </w:r>
    </w:p>
  </w:footnote>
  <w:footnote w:id="8">
    <w:p w14:paraId="7C693E47" w14:textId="77777777" w:rsidR="00CB4EBF" w:rsidRPr="00DA04E1" w:rsidRDefault="00CB4EBF" w:rsidP="00CB4EBF">
      <w:pPr>
        <w:pStyle w:val="FootnoteText"/>
        <w:rPr>
          <w:bCs/>
        </w:rPr>
      </w:pPr>
      <w:r>
        <w:rPr>
          <w:rStyle w:val="FootnoteReference"/>
          <w:vertAlign w:val="baseline"/>
          <w:lang w:val="hr"/>
        </w:rPr>
        <w:sym w:font="Symbol" w:char="F028"/>
      </w:r>
      <w:r>
        <w:rPr>
          <w:rStyle w:val="FootnoteReference"/>
          <w:lang w:val="hr"/>
        </w:rPr>
        <w:t>1</w:t>
      </w:r>
      <w:r>
        <w:rPr>
          <w:rStyle w:val="FootnoteReference"/>
          <w:vertAlign w:val="baseline"/>
          <w:lang w:val="hr"/>
        </w:rPr>
        <w:sym w:font="Symbol" w:char="F029"/>
      </w:r>
      <w:r>
        <w:rPr>
          <w:lang w:val="hr"/>
        </w:rPr>
        <w:t xml:space="preserve"> </w:t>
      </w:r>
      <w:r>
        <w:rPr>
          <w:lang w:val="hr"/>
        </w:rPr>
        <w:t>Ovim se upućuje na područje intervencije dimenzije iz Tablice 1. Priloga I. Uredbi o zajedničkim odredbama.</w:t>
      </w:r>
    </w:p>
  </w:footnote>
  <w:footnote w:id="9">
    <w:p w14:paraId="6C872246" w14:textId="77777777" w:rsidR="00CB4EBF" w:rsidRPr="00C3369C" w:rsidRDefault="00CB4EBF" w:rsidP="00CB4EBF">
      <w:pPr>
        <w:pStyle w:val="FootnoteText"/>
        <w:rPr>
          <w:b/>
          <w:highlight w:val="yellow"/>
          <w:u w:val="single"/>
        </w:rPr>
      </w:pPr>
      <w:r>
        <w:rPr>
          <w:rStyle w:val="FootnoteReference"/>
          <w:vertAlign w:val="baseline"/>
          <w:lang w:val="hr"/>
        </w:rPr>
        <w:sym w:font="Symbol" w:char="F028"/>
      </w:r>
      <w:r>
        <w:rPr>
          <w:rStyle w:val="FootnoteReference"/>
          <w:lang w:val="hr"/>
        </w:rPr>
        <w:t>2</w:t>
      </w:r>
      <w:r>
        <w:rPr>
          <w:rStyle w:val="FootnoteReference"/>
          <w:vertAlign w:val="baseline"/>
          <w:lang w:val="hr"/>
        </w:rPr>
        <w:sym w:font="Symbol" w:char="F029"/>
      </w:r>
      <w:r>
        <w:rPr>
          <w:lang w:val="hr"/>
        </w:rPr>
        <w:t xml:space="preserve"> </w:t>
      </w:r>
      <w:r>
        <w:rPr>
          <w:lang w:val="hr"/>
        </w:rPr>
        <w:t>Ovim se upućuje na oznaku zajedničkog pokazatelja ako je to primjenjivo.</w:t>
      </w:r>
    </w:p>
  </w:footnote>
  <w:footnote w:id="10">
    <w:p w14:paraId="173ADAA2" w14:textId="77777777" w:rsidR="00CB4EBF" w:rsidRPr="00FD0A75" w:rsidRDefault="00CB4EBF" w:rsidP="00CB4EBF">
      <w:pPr>
        <w:pStyle w:val="FootnoteText"/>
        <w:ind w:left="567" w:hanging="567"/>
        <w:rPr>
          <w:bCs/>
          <w:sz w:val="22"/>
          <w:szCs w:val="22"/>
        </w:rPr>
      </w:pPr>
      <w:r>
        <w:rPr>
          <w:rStyle w:val="FootnoteReference"/>
          <w:vertAlign w:val="baseline"/>
          <w:lang w:val="hr"/>
        </w:rPr>
        <w:sym w:font="Symbol" w:char="F028"/>
      </w:r>
      <w:r>
        <w:rPr>
          <w:rStyle w:val="FootnoteReference"/>
          <w:vertAlign w:val="baseline"/>
          <w:lang w:val="hr"/>
        </w:rPr>
        <w:sym w:font="Symbol" w:char="F031"/>
      </w:r>
      <w:r>
        <w:rPr>
          <w:rStyle w:val="FootnoteReference"/>
          <w:vertAlign w:val="baseline"/>
          <w:lang w:val="hr"/>
        </w:rPr>
        <w:sym w:font="Symbol" w:char="F029"/>
      </w:r>
      <w:r>
        <w:rPr>
          <w:rStyle w:val="FootnoteReference"/>
          <w:rFonts w:asciiTheme="majorBidi" w:hAnsiTheme="majorBidi" w:cstheme="majorBidi"/>
          <w:lang w:val="hr"/>
        </w:rPr>
        <w:t xml:space="preserve"> </w:t>
      </w:r>
      <w:r>
        <w:rPr>
          <w:rStyle w:val="FootnoteReference"/>
          <w:rFonts w:asciiTheme="majorBidi" w:hAnsiTheme="majorBidi" w:cstheme="majorBidi"/>
          <w:vertAlign w:val="baseline"/>
          <w:lang w:val="hr"/>
        </w:rPr>
        <w:tab/>
      </w:r>
      <w:r>
        <w:rPr>
          <w:sz w:val="22"/>
          <w:szCs w:val="22"/>
          <w:lang w:val="hr"/>
        </w:rPr>
        <w:t>Planirani datum početka odabira operacija i planirani datum njihova završetka (upućivanje na članak 63. stavak 5. Uredbe o zajedničkim odredbama).</w:t>
      </w:r>
    </w:p>
  </w:footnote>
  <w:footnote w:id="11">
    <w:p w14:paraId="47E22E6D" w14:textId="77777777" w:rsidR="00CB4EBF" w:rsidRPr="00FD0A75" w:rsidRDefault="00CB4EBF" w:rsidP="00CB4EBF">
      <w:pPr>
        <w:pStyle w:val="FootnoteText"/>
        <w:ind w:left="567" w:hanging="567"/>
        <w:rPr>
          <w:rFonts w:cs="Times New Roman"/>
          <w:bCs/>
          <w:sz w:val="22"/>
          <w:szCs w:val="22"/>
        </w:rPr>
      </w:pPr>
      <w:r>
        <w:rPr>
          <w:rStyle w:val="FootnoteReference"/>
          <w:vertAlign w:val="baseline"/>
          <w:lang w:val="hr"/>
        </w:rPr>
        <w:sym w:font="Symbol" w:char="F028"/>
      </w:r>
      <w:r>
        <w:rPr>
          <w:rStyle w:val="FootnoteReference"/>
          <w:vertAlign w:val="baseline"/>
          <w:lang w:val="hr"/>
        </w:rPr>
        <w:sym w:font="Symbol" w:char="F032"/>
      </w:r>
      <w:r>
        <w:rPr>
          <w:rStyle w:val="FootnoteReference"/>
          <w:vertAlign w:val="baseline"/>
          <w:lang w:val="hr"/>
        </w:rPr>
        <w:sym w:font="Symbol" w:char="F029"/>
      </w:r>
      <w:r>
        <w:rPr>
          <w:lang w:val="hr"/>
        </w:rPr>
        <w:t xml:space="preserve"> </w:t>
      </w:r>
      <w:r>
        <w:rPr>
          <w:lang w:val="hr"/>
        </w:rPr>
        <w:tab/>
      </w:r>
      <w:r>
        <w:rPr>
          <w:sz w:val="22"/>
          <w:szCs w:val="22"/>
          <w:lang w:val="hr"/>
        </w:rPr>
        <w:t>Za operacije koje obuhvaćaju više pojednostavnjenih mogućnosti obračuna troškova koji pokrivaju različite kategorije troškova, različite projekte ili sukcesivne faze pojedine operacije polja od 1.3. do 1.11. moraju se popuniti za svaki pokazatelj na temelju kojeg se pokreće nadoknada.</w:t>
      </w:r>
    </w:p>
  </w:footnote>
  <w:footnote w:id="12">
    <w:p w14:paraId="4B1BE091" w14:textId="77777777" w:rsidR="00CB4EBF" w:rsidRPr="00FD0A75" w:rsidRDefault="00CB4EBF" w:rsidP="00CB4EBF">
      <w:pPr>
        <w:pStyle w:val="FootnoteText"/>
        <w:ind w:left="567" w:hanging="567"/>
        <w:rPr>
          <w:bCs/>
          <w:sz w:val="22"/>
          <w:szCs w:val="22"/>
        </w:rPr>
      </w:pPr>
      <w:r>
        <w:rPr>
          <w:rStyle w:val="FootnoteReference"/>
          <w:vertAlign w:val="baseline"/>
          <w:lang w:val="hr"/>
        </w:rPr>
        <w:sym w:font="Symbol" w:char="F028"/>
      </w:r>
      <w:r>
        <w:rPr>
          <w:rStyle w:val="FootnoteReference"/>
          <w:vertAlign w:val="baseline"/>
          <w:lang w:val="hr"/>
        </w:rPr>
        <w:sym w:font="Symbol" w:char="F033"/>
      </w:r>
      <w:r>
        <w:rPr>
          <w:rStyle w:val="FootnoteReference"/>
          <w:vertAlign w:val="baseline"/>
          <w:lang w:val="hr"/>
        </w:rPr>
        <w:sym w:font="Symbol" w:char="F029"/>
      </w:r>
      <w:r>
        <w:rPr>
          <w:rStyle w:val="FootnoteReference"/>
          <w:rFonts w:asciiTheme="majorBidi" w:hAnsiTheme="majorBidi" w:cstheme="majorBidi"/>
          <w:lang w:val="hr"/>
        </w:rPr>
        <w:t xml:space="preserve"> </w:t>
      </w:r>
      <w:r>
        <w:rPr>
          <w:lang w:val="hr"/>
        </w:rPr>
        <w:tab/>
      </w:r>
      <w:r>
        <w:rPr>
          <w:sz w:val="22"/>
          <w:szCs w:val="22"/>
          <w:lang w:val="hr"/>
        </w:rPr>
        <w:t>Ako je to primjenjivo, naznačite učestalost i vrijeme prilagodbe te jasno upućivanje na specifični pokazatelj (uključujući poveznicu na internetske stranica na kojima je pokazatelj objavljen ako je to primjenjivo).</w:t>
      </w:r>
    </w:p>
  </w:footnote>
  <w:footnote w:id="13">
    <w:p w14:paraId="0782F3C5" w14:textId="77777777" w:rsidR="00CB4EBF" w:rsidRPr="00FD0A75" w:rsidRDefault="00CB4EBF" w:rsidP="00CB4EBF">
      <w:pPr>
        <w:pStyle w:val="FootnoteText"/>
        <w:ind w:left="567" w:hanging="567"/>
        <w:rPr>
          <w:bCs/>
          <w:sz w:val="22"/>
          <w:szCs w:val="22"/>
        </w:rPr>
      </w:pPr>
      <w:r>
        <w:rPr>
          <w:rStyle w:val="FootnoteReference"/>
          <w:vertAlign w:val="baseline"/>
          <w:lang w:val="hr"/>
        </w:rPr>
        <w:sym w:font="Symbol" w:char="F028"/>
      </w:r>
      <w:r>
        <w:rPr>
          <w:rStyle w:val="FootnoteReference"/>
          <w:vertAlign w:val="baseline"/>
          <w:lang w:val="hr"/>
        </w:rPr>
        <w:sym w:font="Symbol" w:char="F034"/>
      </w:r>
      <w:r>
        <w:rPr>
          <w:rStyle w:val="FootnoteReference"/>
          <w:vertAlign w:val="baseline"/>
          <w:lang w:val="hr"/>
        </w:rPr>
        <w:sym w:font="Symbol" w:char="F029"/>
      </w:r>
      <w:r>
        <w:rPr>
          <w:rStyle w:val="FootnoteReference"/>
          <w:rFonts w:asciiTheme="majorBidi" w:hAnsiTheme="majorBidi" w:cstheme="majorBidi"/>
          <w:b/>
          <w:bCs/>
          <w:lang w:val="hr"/>
        </w:rPr>
        <w:t xml:space="preserve"> </w:t>
      </w:r>
      <w:r>
        <w:rPr>
          <w:lang w:val="hr"/>
        </w:rPr>
        <w:tab/>
      </w:r>
      <w:r>
        <w:rPr>
          <w:sz w:val="22"/>
          <w:szCs w:val="22"/>
          <w:lang w:val="hr"/>
        </w:rPr>
        <w:t>Postoje li potencijalne negativne posljedice na kvalitetu operacije koju se podupire i ako postoje, koje će se mjere (kao što je osiguranje kvalitete) poduzeti kako bi se ublažio taj rizik?</w:t>
      </w:r>
    </w:p>
  </w:footnote>
  <w:footnote w:id="14">
    <w:p w14:paraId="45CE7EEB" w14:textId="77777777" w:rsidR="00CB4EBF" w:rsidRPr="0004069D" w:rsidRDefault="00CB4EBF" w:rsidP="00CB4EBF">
      <w:pPr>
        <w:pStyle w:val="FootnoteText"/>
        <w:rPr>
          <w:bCs/>
          <w:iCs/>
        </w:rPr>
      </w:pPr>
      <w:r>
        <w:rPr>
          <w:rStyle w:val="FootnoteReference"/>
          <w:vertAlign w:val="baseline"/>
          <w:lang w:val="hr"/>
        </w:rPr>
        <w:sym w:font="Symbol" w:char="F028"/>
      </w:r>
      <w:r>
        <w:rPr>
          <w:rStyle w:val="FootnoteReference"/>
          <w:vertAlign w:val="baseline"/>
          <w:lang w:val="hr"/>
        </w:rPr>
        <w:sym w:font="Symbol" w:char="F031"/>
      </w:r>
      <w:r>
        <w:rPr>
          <w:rStyle w:val="FootnoteReference"/>
          <w:vertAlign w:val="baseline"/>
          <w:lang w:val="hr"/>
        </w:rPr>
        <w:sym w:font="Symbol" w:char="F029"/>
      </w:r>
      <w:r>
        <w:rPr>
          <w:lang w:val="hr"/>
        </w:rPr>
        <w:t xml:space="preserve"> </w:t>
      </w:r>
      <w:r>
        <w:rPr>
          <w:lang w:val="hr"/>
        </w:rPr>
        <w:tab/>
      </w:r>
      <w:r>
        <w:rPr>
          <w:lang w:val="hr"/>
        </w:rPr>
        <w:t xml:space="preserve">Ovim se upućuje na oznaku za područje intervencije dimenzije iz Tablice 1. Priloga I. Uredbi o zajedničkim odredbama i Prilog IV. Uredbe o </w:t>
      </w:r>
      <w:proofErr w:type="spellStart"/>
      <w:r>
        <w:rPr>
          <w:lang w:val="hr"/>
        </w:rPr>
        <w:t>EMFAF</w:t>
      </w:r>
      <w:proofErr w:type="spellEnd"/>
      <w:r>
        <w:rPr>
          <w:lang w:val="hr"/>
        </w:rPr>
        <w:t>-u.</w:t>
      </w:r>
    </w:p>
  </w:footnote>
  <w:footnote w:id="15">
    <w:p w14:paraId="1DE7D99C" w14:textId="77777777" w:rsidR="00CB4EBF" w:rsidRPr="00FD0A75" w:rsidRDefault="00CB4EBF" w:rsidP="00CB4EBF">
      <w:pPr>
        <w:pStyle w:val="FootnoteText"/>
        <w:rPr>
          <w:bCs/>
          <w:iCs/>
          <w:u w:val="single"/>
        </w:rPr>
      </w:pPr>
      <w:r>
        <w:rPr>
          <w:rStyle w:val="FootnoteReference"/>
          <w:vertAlign w:val="baseline"/>
          <w:lang w:val="hr"/>
        </w:rPr>
        <w:sym w:font="Symbol" w:char="F028"/>
      </w:r>
      <w:r>
        <w:rPr>
          <w:rStyle w:val="FootnoteReference"/>
          <w:vertAlign w:val="baseline"/>
          <w:lang w:val="hr"/>
        </w:rPr>
        <w:sym w:font="Symbol" w:char="F032"/>
      </w:r>
      <w:r>
        <w:rPr>
          <w:rStyle w:val="FootnoteReference"/>
          <w:vertAlign w:val="baseline"/>
          <w:lang w:val="hr"/>
        </w:rPr>
        <w:sym w:font="Symbol" w:char="F029"/>
      </w:r>
      <w:r>
        <w:rPr>
          <w:lang w:val="hr"/>
        </w:rPr>
        <w:t xml:space="preserve"> </w:t>
      </w:r>
      <w:r>
        <w:rPr>
          <w:lang w:val="hr"/>
        </w:rPr>
        <w:tab/>
      </w:r>
      <w:r>
        <w:rPr>
          <w:lang w:val="hr"/>
        </w:rPr>
        <w:t>Ovim se upućuje na oznaku zajedničkog pokazatelja ako je to primjenjivo.</w:t>
      </w:r>
    </w:p>
  </w:footnote>
  <w:footnote w:id="16">
    <w:p w14:paraId="62940026" w14:textId="77777777" w:rsidR="00CB4EBF" w:rsidRPr="0090125E" w:rsidRDefault="00CB4EBF" w:rsidP="00CB4EBF">
      <w:pPr>
        <w:pStyle w:val="FootnoteText"/>
      </w:pPr>
      <w:r>
        <w:rPr>
          <w:rStyle w:val="FootnoteReference"/>
          <w:lang w:val="hr"/>
        </w:rPr>
        <w:footnoteRef/>
      </w:r>
      <w:r>
        <w:rPr>
          <w:lang w:val="hr"/>
        </w:rPr>
        <w:t xml:space="preserve"> </w:t>
      </w:r>
      <w:bookmarkStart w:id="12" w:name="_Hlk98773232"/>
      <w:bookmarkStart w:id="13" w:name="_Hlk98752848"/>
      <w:r>
        <w:rPr>
          <w:lang w:val="hr"/>
        </w:rPr>
        <w:t xml:space="preserve">Pregovori su između dviju država članica u tijeku, </w:t>
      </w:r>
      <w:bookmarkEnd w:id="12"/>
      <w:r>
        <w:rPr>
          <w:lang w:val="hr"/>
        </w:rPr>
        <w:t xml:space="preserve">popis će biti dostavljen </w:t>
      </w:r>
      <w:bookmarkEnd w:id="13"/>
      <w:r>
        <w:rPr>
          <w:lang w:val="hr"/>
        </w:rPr>
        <w:t>kasnije, ako se postigne dogovor.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8A3AC" w14:textId="77777777" w:rsidR="0084079C" w:rsidRDefault="0084079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CAAE" w14:textId="77777777" w:rsidR="00CB4EBF" w:rsidRDefault="00CB4EBF">
    <w:pPr>
      <w:pStyle w:val="Footer"/>
      <w:pBdr>
        <w:bottom w:val="single" w:sz="4" w:space="1" w:color="7B6F46"/>
      </w:pBdr>
      <w:tabs>
        <w:tab w:val="right" w:pos="8820"/>
      </w:tabs>
      <w:ind w:right="3027"/>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AF92" w14:textId="77777777" w:rsidR="00CB4EBF" w:rsidRDefault="00CB4EBF">
    <w:pPr>
      <w:pStyle w:val="HeaderLandscap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F959" w14:textId="77777777" w:rsidR="00CB4EBF" w:rsidRPr="000C035E" w:rsidRDefault="00CB4EBF" w:rsidP="007C53A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C4AF8" w14:textId="77777777" w:rsidR="00CB4EBF" w:rsidRPr="000C035E" w:rsidRDefault="00CB4EBF" w:rsidP="007C53A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A6FF" w14:textId="77777777" w:rsidR="00CB4EBF" w:rsidRPr="000C035E" w:rsidRDefault="00CB4EBF" w:rsidP="007C53A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787AB" w14:textId="0184F1F4" w:rsidR="00CB4EBF" w:rsidRPr="000C035E" w:rsidRDefault="00CB4EBF" w:rsidP="007C53A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038F" w14:textId="6F7D5EAD" w:rsidR="00CB4EBF" w:rsidRPr="000C035E" w:rsidRDefault="00CB4EBF" w:rsidP="007C53A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16D22" w14:textId="77777777" w:rsidR="00CB4EBF" w:rsidRPr="000C035E" w:rsidRDefault="00CB4EBF" w:rsidP="007C53A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6E52" w14:textId="77777777" w:rsidR="0084079C" w:rsidRDefault="0084079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CB0B" w14:textId="77777777" w:rsidR="0084079C" w:rsidRDefault="0084079C">
    <w:pPr>
      <w:pStyle w:val="Footer"/>
      <w:pBdr>
        <w:bottom w:val="single" w:sz="4" w:space="1" w:color="7B6F46"/>
      </w:pBdr>
      <w:tabs>
        <w:tab w:val="right" w:pos="8820"/>
      </w:tabs>
      <w:ind w:right="3027"/>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EA1B" w14:textId="77777777" w:rsidR="00CB4EBF" w:rsidRDefault="00CB4EB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CE152" w14:textId="77777777" w:rsidR="0084079C" w:rsidRDefault="0084079C">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EA1B" w14:textId="77777777" w:rsidR="00CB4EBF" w:rsidRDefault="00CB4E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EA1B" w14:textId="77777777" w:rsidR="00CB4EBF" w:rsidRDefault="00CB4E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7F6A1" w14:textId="77777777" w:rsidR="00CB4EBF" w:rsidRDefault="00CB4EB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4CCE" w14:textId="77777777" w:rsidR="00CB4EBF" w:rsidRDefault="00CB4EB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55516" w14:textId="77777777" w:rsidR="00CB4EBF" w:rsidRDefault="00CB4EBF" w:rsidP="007C53AF">
    <w:pPr>
      <w:pStyle w:val="Footer"/>
      <w:tabs>
        <w:tab w:val="right" w:pos="8820"/>
      </w:tabs>
      <w:ind w:right="3027"/>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28DA4" w14:textId="77777777" w:rsidR="00CB4EBF" w:rsidRDefault="00CB4EBF">
    <w:pPr>
      <w:pStyle w:val="HeaderLandscap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063F" w14:textId="77777777" w:rsidR="00CB4EBF" w:rsidRDefault="00CB4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F32"/>
    <w:multiLevelType w:val="hybridMultilevel"/>
    <w:tmpl w:val="3992E91C"/>
    <w:lvl w:ilvl="0" w:tplc="70167036">
      <w:start w:val="281"/>
      <w:numFmt w:val="bullet"/>
      <w:lvlText w:val="-"/>
      <w:lvlJc w:val="left"/>
      <w:pPr>
        <w:ind w:left="1211" w:hanging="360"/>
      </w:pPr>
      <w:rPr>
        <w:rFonts w:ascii="Times New Roman" w:eastAsia="Cambria" w:hAnsi="Times New Roman" w:cs="Times New Roman"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1" w15:restartNumberingAfterBreak="0">
    <w:nsid w:val="01CA51C2"/>
    <w:multiLevelType w:val="hybridMultilevel"/>
    <w:tmpl w:val="80304324"/>
    <w:lvl w:ilvl="0" w:tplc="7A82302A">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093C6C5C"/>
    <w:multiLevelType w:val="hybridMultilevel"/>
    <w:tmpl w:val="B75CDA86"/>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3" w15:restartNumberingAfterBreak="0">
    <w:nsid w:val="097211D4"/>
    <w:multiLevelType w:val="hybridMultilevel"/>
    <w:tmpl w:val="3D6CAA7C"/>
    <w:lvl w:ilvl="0" w:tplc="0D26E52C">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0AC1320D"/>
    <w:multiLevelType w:val="hybridMultilevel"/>
    <w:tmpl w:val="918ABE04"/>
    <w:lvl w:ilvl="0" w:tplc="7A82302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B0C03D4"/>
    <w:multiLevelType w:val="hybridMultilevel"/>
    <w:tmpl w:val="09C8AED6"/>
    <w:lvl w:ilvl="0" w:tplc="0D26E52C">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 w15:restartNumberingAfterBreak="0">
    <w:nsid w:val="1183794F"/>
    <w:multiLevelType w:val="hybridMultilevel"/>
    <w:tmpl w:val="78E44224"/>
    <w:lvl w:ilvl="0" w:tplc="04090001">
      <w:start w:val="1"/>
      <w:numFmt w:val="bullet"/>
      <w:lvlText w:val=""/>
      <w:lvlJc w:val="left"/>
      <w:pPr>
        <w:ind w:left="720" w:hanging="360"/>
      </w:pPr>
      <w:rPr>
        <w:rFonts w:ascii="Symbol" w:hAnsi="Symbol" w:hint="default"/>
      </w:rPr>
    </w:lvl>
    <w:lvl w:ilvl="1" w:tplc="70167036">
      <w:start w:val="281"/>
      <w:numFmt w:val="bullet"/>
      <w:lvlText w:val="-"/>
      <w:lvlJc w:val="left"/>
      <w:pPr>
        <w:ind w:left="1440" w:hanging="360"/>
      </w:pPr>
      <w:rPr>
        <w:rFonts w:ascii="Times New Roman" w:eastAsia="Cambr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816A1"/>
    <w:multiLevelType w:val="hybridMultilevel"/>
    <w:tmpl w:val="8C16A556"/>
    <w:lvl w:ilvl="0" w:tplc="7A82302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 w15:restartNumberingAfterBreak="0">
    <w:nsid w:val="18EE09F5"/>
    <w:multiLevelType w:val="hybridMultilevel"/>
    <w:tmpl w:val="B6EE78E2"/>
    <w:lvl w:ilvl="0" w:tplc="DD0A6478">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B3C78B8"/>
    <w:multiLevelType w:val="multilevel"/>
    <w:tmpl w:val="5C1E6B1C"/>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1D7D7C93"/>
    <w:multiLevelType w:val="hybridMultilevel"/>
    <w:tmpl w:val="DD7EB756"/>
    <w:lvl w:ilvl="0" w:tplc="7A82302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1" w15:restartNumberingAfterBreak="0">
    <w:nsid w:val="21E21948"/>
    <w:multiLevelType w:val="hybridMultilevel"/>
    <w:tmpl w:val="36445B88"/>
    <w:lvl w:ilvl="0" w:tplc="7A82302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15:restartNumberingAfterBreak="0">
    <w:nsid w:val="223A4615"/>
    <w:multiLevelType w:val="multilevel"/>
    <w:tmpl w:val="0809001F"/>
    <w:lvl w:ilvl="0">
      <w:start w:val="1"/>
      <w:numFmt w:val="decimal"/>
      <w:lvlText w:val="%1."/>
      <w:lvlJc w:val="left"/>
      <w:pPr>
        <w:ind w:left="360" w:hanging="360"/>
      </w:pPr>
      <w:rPr>
        <w:i w:val="0"/>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14538A"/>
    <w:multiLevelType w:val="hybridMultilevel"/>
    <w:tmpl w:val="33163B38"/>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BFF0733"/>
    <w:multiLevelType w:val="hybridMultilevel"/>
    <w:tmpl w:val="5B9277F6"/>
    <w:lvl w:ilvl="0" w:tplc="7A82302A">
      <w:start w:val="1"/>
      <w:numFmt w:val="bullet"/>
      <w:lvlText w:val=""/>
      <w:lvlJc w:val="left"/>
      <w:pPr>
        <w:ind w:left="360" w:hanging="360"/>
      </w:pPr>
      <w:rPr>
        <w:rFonts w:ascii="Symbol" w:hAnsi="Symbol" w:hint="default"/>
      </w:rPr>
    </w:lvl>
    <w:lvl w:ilvl="1" w:tplc="B74C509A">
      <w:numFmt w:val="bullet"/>
      <w:lvlText w:val="-"/>
      <w:lvlJc w:val="left"/>
      <w:pPr>
        <w:ind w:left="1080" w:hanging="360"/>
      </w:pPr>
      <w:rPr>
        <w:rFonts w:ascii="Times New Roman" w:eastAsiaTheme="minorHAnsi" w:hAnsi="Times New Roman" w:cs="Times New Roman"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5" w15:restartNumberingAfterBreak="0">
    <w:nsid w:val="2CBE3659"/>
    <w:multiLevelType w:val="hybridMultilevel"/>
    <w:tmpl w:val="842AA794"/>
    <w:lvl w:ilvl="0" w:tplc="7A82302A">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15:restartNumberingAfterBreak="0">
    <w:nsid w:val="2D4A3331"/>
    <w:multiLevelType w:val="hybridMultilevel"/>
    <w:tmpl w:val="520646D0"/>
    <w:lvl w:ilvl="0" w:tplc="7A82302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7" w15:restartNumberingAfterBreak="0">
    <w:nsid w:val="2E9956D8"/>
    <w:multiLevelType w:val="hybridMultilevel"/>
    <w:tmpl w:val="B060CFDC"/>
    <w:lvl w:ilvl="0" w:tplc="7A82302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8" w15:restartNumberingAfterBreak="0">
    <w:nsid w:val="32DF3F70"/>
    <w:multiLevelType w:val="hybridMultilevel"/>
    <w:tmpl w:val="F5A8F166"/>
    <w:lvl w:ilvl="0" w:tplc="D14627A8">
      <w:start w:val="1"/>
      <w:numFmt w:val="bullet"/>
      <w:lvlText w:val="-"/>
      <w:lvlJc w:val="left"/>
      <w:pPr>
        <w:ind w:left="890" w:hanging="360"/>
      </w:pPr>
      <w:rPr>
        <w:rFonts w:ascii="Calibri" w:eastAsia="Times New Roman" w:hAnsi="Calibri" w:cs="Calibri" w:hint="default"/>
      </w:rPr>
    </w:lvl>
    <w:lvl w:ilvl="1" w:tplc="040E0003" w:tentative="1">
      <w:start w:val="1"/>
      <w:numFmt w:val="bullet"/>
      <w:lvlText w:val="o"/>
      <w:lvlJc w:val="left"/>
      <w:pPr>
        <w:ind w:left="1610" w:hanging="360"/>
      </w:pPr>
      <w:rPr>
        <w:rFonts w:ascii="Courier New" w:hAnsi="Courier New" w:cs="Courier New" w:hint="default"/>
      </w:rPr>
    </w:lvl>
    <w:lvl w:ilvl="2" w:tplc="040E0005" w:tentative="1">
      <w:start w:val="1"/>
      <w:numFmt w:val="bullet"/>
      <w:lvlText w:val=""/>
      <w:lvlJc w:val="left"/>
      <w:pPr>
        <w:ind w:left="2330" w:hanging="360"/>
      </w:pPr>
      <w:rPr>
        <w:rFonts w:ascii="Wingdings" w:hAnsi="Wingdings" w:hint="default"/>
      </w:rPr>
    </w:lvl>
    <w:lvl w:ilvl="3" w:tplc="040E0001" w:tentative="1">
      <w:start w:val="1"/>
      <w:numFmt w:val="bullet"/>
      <w:lvlText w:val=""/>
      <w:lvlJc w:val="left"/>
      <w:pPr>
        <w:ind w:left="3050" w:hanging="360"/>
      </w:pPr>
      <w:rPr>
        <w:rFonts w:ascii="Symbol" w:hAnsi="Symbol" w:hint="default"/>
      </w:rPr>
    </w:lvl>
    <w:lvl w:ilvl="4" w:tplc="040E0003" w:tentative="1">
      <w:start w:val="1"/>
      <w:numFmt w:val="bullet"/>
      <w:lvlText w:val="o"/>
      <w:lvlJc w:val="left"/>
      <w:pPr>
        <w:ind w:left="3770" w:hanging="360"/>
      </w:pPr>
      <w:rPr>
        <w:rFonts w:ascii="Courier New" w:hAnsi="Courier New" w:cs="Courier New" w:hint="default"/>
      </w:rPr>
    </w:lvl>
    <w:lvl w:ilvl="5" w:tplc="040E0005" w:tentative="1">
      <w:start w:val="1"/>
      <w:numFmt w:val="bullet"/>
      <w:lvlText w:val=""/>
      <w:lvlJc w:val="left"/>
      <w:pPr>
        <w:ind w:left="4490" w:hanging="360"/>
      </w:pPr>
      <w:rPr>
        <w:rFonts w:ascii="Wingdings" w:hAnsi="Wingdings" w:hint="default"/>
      </w:rPr>
    </w:lvl>
    <w:lvl w:ilvl="6" w:tplc="040E0001" w:tentative="1">
      <w:start w:val="1"/>
      <w:numFmt w:val="bullet"/>
      <w:lvlText w:val=""/>
      <w:lvlJc w:val="left"/>
      <w:pPr>
        <w:ind w:left="5210" w:hanging="360"/>
      </w:pPr>
      <w:rPr>
        <w:rFonts w:ascii="Symbol" w:hAnsi="Symbol" w:hint="default"/>
      </w:rPr>
    </w:lvl>
    <w:lvl w:ilvl="7" w:tplc="040E0003" w:tentative="1">
      <w:start w:val="1"/>
      <w:numFmt w:val="bullet"/>
      <w:lvlText w:val="o"/>
      <w:lvlJc w:val="left"/>
      <w:pPr>
        <w:ind w:left="5930" w:hanging="360"/>
      </w:pPr>
      <w:rPr>
        <w:rFonts w:ascii="Courier New" w:hAnsi="Courier New" w:cs="Courier New" w:hint="default"/>
      </w:rPr>
    </w:lvl>
    <w:lvl w:ilvl="8" w:tplc="040E0005" w:tentative="1">
      <w:start w:val="1"/>
      <w:numFmt w:val="bullet"/>
      <w:lvlText w:val=""/>
      <w:lvlJc w:val="left"/>
      <w:pPr>
        <w:ind w:left="6650" w:hanging="360"/>
      </w:pPr>
      <w:rPr>
        <w:rFonts w:ascii="Wingdings" w:hAnsi="Wingdings" w:hint="default"/>
      </w:rPr>
    </w:lvl>
  </w:abstractNum>
  <w:abstractNum w:abstractNumId="19" w15:restartNumberingAfterBreak="0">
    <w:nsid w:val="3543178D"/>
    <w:multiLevelType w:val="hybridMultilevel"/>
    <w:tmpl w:val="5AB8C536"/>
    <w:lvl w:ilvl="0" w:tplc="7A82302A">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0" w15:restartNumberingAfterBreak="0">
    <w:nsid w:val="3958240E"/>
    <w:multiLevelType w:val="multilevel"/>
    <w:tmpl w:val="0809001F"/>
    <w:lvl w:ilvl="0">
      <w:start w:val="1"/>
      <w:numFmt w:val="decimal"/>
      <w:lvlText w:val="%1."/>
      <w:lvlJc w:val="left"/>
      <w:pPr>
        <w:ind w:left="360" w:hanging="360"/>
      </w:pPr>
      <w:rPr>
        <w:i w:val="0"/>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0651E4"/>
    <w:multiLevelType w:val="hybridMultilevel"/>
    <w:tmpl w:val="A6522494"/>
    <w:lvl w:ilvl="0" w:tplc="0D26E52C">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2" w15:restartNumberingAfterBreak="0">
    <w:nsid w:val="3F381882"/>
    <w:multiLevelType w:val="hybridMultilevel"/>
    <w:tmpl w:val="C3A41EE8"/>
    <w:lvl w:ilvl="0" w:tplc="7A82302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3" w15:restartNumberingAfterBreak="0">
    <w:nsid w:val="462E2802"/>
    <w:multiLevelType w:val="hybridMultilevel"/>
    <w:tmpl w:val="CBE827FE"/>
    <w:lvl w:ilvl="0" w:tplc="04090001">
      <w:start w:val="1"/>
      <w:numFmt w:val="bullet"/>
      <w:lvlText w:val=""/>
      <w:lvlJc w:val="left"/>
      <w:pPr>
        <w:ind w:left="890" w:hanging="360"/>
      </w:pPr>
      <w:rPr>
        <w:rFonts w:ascii="Symbol" w:hAnsi="Symbol" w:hint="default"/>
      </w:rPr>
    </w:lvl>
    <w:lvl w:ilvl="1" w:tplc="70167036">
      <w:start w:val="281"/>
      <w:numFmt w:val="bullet"/>
      <w:lvlText w:val="-"/>
      <w:lvlJc w:val="left"/>
      <w:pPr>
        <w:ind w:left="1610" w:hanging="360"/>
      </w:pPr>
      <w:rPr>
        <w:rFonts w:ascii="Times New Roman" w:eastAsia="Cambria" w:hAnsi="Times New Roman" w:cs="Times New Roman"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4" w15:restartNumberingAfterBreak="0">
    <w:nsid w:val="48511116"/>
    <w:multiLevelType w:val="hybridMultilevel"/>
    <w:tmpl w:val="56E860DC"/>
    <w:lvl w:ilvl="0" w:tplc="7A82302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5" w15:restartNumberingAfterBreak="0">
    <w:nsid w:val="49201549"/>
    <w:multiLevelType w:val="hybridMultilevel"/>
    <w:tmpl w:val="ABF8E4A4"/>
    <w:lvl w:ilvl="0" w:tplc="7A82302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6" w15:restartNumberingAfterBreak="0">
    <w:nsid w:val="4B8A2A48"/>
    <w:multiLevelType w:val="hybridMultilevel"/>
    <w:tmpl w:val="D5965E44"/>
    <w:lvl w:ilvl="0" w:tplc="FC748AF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B9D0253"/>
    <w:multiLevelType w:val="hybridMultilevel"/>
    <w:tmpl w:val="D1740D10"/>
    <w:lvl w:ilvl="0" w:tplc="D14627A8">
      <w:start w:val="1"/>
      <w:numFmt w:val="bullet"/>
      <w:lvlText w:val="-"/>
      <w:lvlJc w:val="left"/>
      <w:pPr>
        <w:ind w:left="890" w:hanging="360"/>
      </w:pPr>
      <w:rPr>
        <w:rFonts w:ascii="Calibri" w:eastAsia="Times New Roman" w:hAnsi="Calibri" w:cs="Calibri" w:hint="default"/>
      </w:rPr>
    </w:lvl>
    <w:lvl w:ilvl="1" w:tplc="040E0003" w:tentative="1">
      <w:start w:val="1"/>
      <w:numFmt w:val="bullet"/>
      <w:lvlText w:val="o"/>
      <w:lvlJc w:val="left"/>
      <w:pPr>
        <w:ind w:left="1610" w:hanging="360"/>
      </w:pPr>
      <w:rPr>
        <w:rFonts w:ascii="Courier New" w:hAnsi="Courier New" w:cs="Courier New" w:hint="default"/>
      </w:rPr>
    </w:lvl>
    <w:lvl w:ilvl="2" w:tplc="040E0005" w:tentative="1">
      <w:start w:val="1"/>
      <w:numFmt w:val="bullet"/>
      <w:lvlText w:val=""/>
      <w:lvlJc w:val="left"/>
      <w:pPr>
        <w:ind w:left="2330" w:hanging="360"/>
      </w:pPr>
      <w:rPr>
        <w:rFonts w:ascii="Wingdings" w:hAnsi="Wingdings" w:hint="default"/>
      </w:rPr>
    </w:lvl>
    <w:lvl w:ilvl="3" w:tplc="040E0001" w:tentative="1">
      <w:start w:val="1"/>
      <w:numFmt w:val="bullet"/>
      <w:lvlText w:val=""/>
      <w:lvlJc w:val="left"/>
      <w:pPr>
        <w:ind w:left="3050" w:hanging="360"/>
      </w:pPr>
      <w:rPr>
        <w:rFonts w:ascii="Symbol" w:hAnsi="Symbol" w:hint="default"/>
      </w:rPr>
    </w:lvl>
    <w:lvl w:ilvl="4" w:tplc="040E0003" w:tentative="1">
      <w:start w:val="1"/>
      <w:numFmt w:val="bullet"/>
      <w:lvlText w:val="o"/>
      <w:lvlJc w:val="left"/>
      <w:pPr>
        <w:ind w:left="3770" w:hanging="360"/>
      </w:pPr>
      <w:rPr>
        <w:rFonts w:ascii="Courier New" w:hAnsi="Courier New" w:cs="Courier New" w:hint="default"/>
      </w:rPr>
    </w:lvl>
    <w:lvl w:ilvl="5" w:tplc="040E0005" w:tentative="1">
      <w:start w:val="1"/>
      <w:numFmt w:val="bullet"/>
      <w:lvlText w:val=""/>
      <w:lvlJc w:val="left"/>
      <w:pPr>
        <w:ind w:left="4490" w:hanging="360"/>
      </w:pPr>
      <w:rPr>
        <w:rFonts w:ascii="Wingdings" w:hAnsi="Wingdings" w:hint="default"/>
      </w:rPr>
    </w:lvl>
    <w:lvl w:ilvl="6" w:tplc="040E0001" w:tentative="1">
      <w:start w:val="1"/>
      <w:numFmt w:val="bullet"/>
      <w:lvlText w:val=""/>
      <w:lvlJc w:val="left"/>
      <w:pPr>
        <w:ind w:left="5210" w:hanging="360"/>
      </w:pPr>
      <w:rPr>
        <w:rFonts w:ascii="Symbol" w:hAnsi="Symbol" w:hint="default"/>
      </w:rPr>
    </w:lvl>
    <w:lvl w:ilvl="7" w:tplc="040E0003" w:tentative="1">
      <w:start w:val="1"/>
      <w:numFmt w:val="bullet"/>
      <w:lvlText w:val="o"/>
      <w:lvlJc w:val="left"/>
      <w:pPr>
        <w:ind w:left="5930" w:hanging="360"/>
      </w:pPr>
      <w:rPr>
        <w:rFonts w:ascii="Courier New" w:hAnsi="Courier New" w:cs="Courier New" w:hint="default"/>
      </w:rPr>
    </w:lvl>
    <w:lvl w:ilvl="8" w:tplc="040E0005" w:tentative="1">
      <w:start w:val="1"/>
      <w:numFmt w:val="bullet"/>
      <w:lvlText w:val=""/>
      <w:lvlJc w:val="left"/>
      <w:pPr>
        <w:ind w:left="6650" w:hanging="360"/>
      </w:pPr>
      <w:rPr>
        <w:rFonts w:ascii="Wingdings" w:hAnsi="Wingdings" w:hint="default"/>
      </w:rPr>
    </w:lvl>
  </w:abstractNum>
  <w:abstractNum w:abstractNumId="28" w15:restartNumberingAfterBreak="0">
    <w:nsid w:val="4CFF1DA5"/>
    <w:multiLevelType w:val="hybridMultilevel"/>
    <w:tmpl w:val="F1E0BC80"/>
    <w:lvl w:ilvl="0" w:tplc="0D26E52C">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CA862BF"/>
    <w:multiLevelType w:val="hybridMultilevel"/>
    <w:tmpl w:val="01E4D0BE"/>
    <w:lvl w:ilvl="0" w:tplc="7A82302A">
      <w:start w:val="1"/>
      <w:numFmt w:val="bullet"/>
      <w:lvlText w:val=""/>
      <w:lvlJc w:val="left"/>
      <w:pPr>
        <w:ind w:left="360" w:hanging="360"/>
      </w:pPr>
      <w:rPr>
        <w:rFonts w:ascii="Symbol" w:hAnsi="Symbol" w:hint="default"/>
      </w:rPr>
    </w:lvl>
    <w:lvl w:ilvl="1" w:tplc="7A82302A">
      <w:start w:val="1"/>
      <w:numFmt w:val="bullet"/>
      <w:lvlText w:val=""/>
      <w:lvlJc w:val="left"/>
      <w:pPr>
        <w:ind w:left="1080" w:hanging="360"/>
      </w:pPr>
      <w:rPr>
        <w:rFonts w:ascii="Symbol" w:hAnsi="Symbol"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0" w15:restartNumberingAfterBreak="0">
    <w:nsid w:val="5FFE6B85"/>
    <w:multiLevelType w:val="hybridMultilevel"/>
    <w:tmpl w:val="20106316"/>
    <w:lvl w:ilvl="0" w:tplc="7A82302A">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1" w15:restartNumberingAfterBreak="0">
    <w:nsid w:val="621D3119"/>
    <w:multiLevelType w:val="hybridMultilevel"/>
    <w:tmpl w:val="81BA472C"/>
    <w:lvl w:ilvl="0" w:tplc="7A82302A">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2" w15:restartNumberingAfterBreak="0">
    <w:nsid w:val="6DF107E9"/>
    <w:multiLevelType w:val="hybridMultilevel"/>
    <w:tmpl w:val="26BC420C"/>
    <w:lvl w:ilvl="0" w:tplc="7A82302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3" w15:restartNumberingAfterBreak="0">
    <w:nsid w:val="752D1BD2"/>
    <w:multiLevelType w:val="hybridMultilevel"/>
    <w:tmpl w:val="16AAF4C8"/>
    <w:lvl w:ilvl="0" w:tplc="7A82302A">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4" w15:restartNumberingAfterBreak="0">
    <w:nsid w:val="75480E34"/>
    <w:multiLevelType w:val="hybridMultilevel"/>
    <w:tmpl w:val="77E863AE"/>
    <w:lvl w:ilvl="0" w:tplc="95C04B8C">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BD565CC"/>
    <w:multiLevelType w:val="hybridMultilevel"/>
    <w:tmpl w:val="34703A04"/>
    <w:lvl w:ilvl="0" w:tplc="7A82302A">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16cid:durableId="978918449">
    <w:abstractNumId w:val="12"/>
  </w:num>
  <w:num w:numId="2" w16cid:durableId="16941878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72465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0934411">
    <w:abstractNumId w:val="18"/>
  </w:num>
  <w:num w:numId="5" w16cid:durableId="1937783066">
    <w:abstractNumId w:val="27"/>
  </w:num>
  <w:num w:numId="6" w16cid:durableId="859971113">
    <w:abstractNumId w:val="34"/>
  </w:num>
  <w:num w:numId="7" w16cid:durableId="1068453017">
    <w:abstractNumId w:val="28"/>
  </w:num>
  <w:num w:numId="8" w16cid:durableId="2007898591">
    <w:abstractNumId w:val="20"/>
  </w:num>
  <w:num w:numId="9" w16cid:durableId="1947886081">
    <w:abstractNumId w:val="32"/>
  </w:num>
  <w:num w:numId="10" w16cid:durableId="1847206394">
    <w:abstractNumId w:val="11"/>
  </w:num>
  <w:num w:numId="11" w16cid:durableId="968824662">
    <w:abstractNumId w:val="25"/>
  </w:num>
  <w:num w:numId="12" w16cid:durableId="1424495625">
    <w:abstractNumId w:val="10"/>
  </w:num>
  <w:num w:numId="13" w16cid:durableId="1098795341">
    <w:abstractNumId w:val="14"/>
  </w:num>
  <w:num w:numId="14" w16cid:durableId="69735656">
    <w:abstractNumId w:val="29"/>
  </w:num>
  <w:num w:numId="15" w16cid:durableId="1627396095">
    <w:abstractNumId w:val="30"/>
  </w:num>
  <w:num w:numId="16" w16cid:durableId="1019156664">
    <w:abstractNumId w:val="19"/>
  </w:num>
  <w:num w:numId="17" w16cid:durableId="1627008407">
    <w:abstractNumId w:val="33"/>
  </w:num>
  <w:num w:numId="18" w16cid:durableId="572279683">
    <w:abstractNumId w:val="35"/>
  </w:num>
  <w:num w:numId="19" w16cid:durableId="2138990644">
    <w:abstractNumId w:val="15"/>
  </w:num>
  <w:num w:numId="20" w16cid:durableId="590701828">
    <w:abstractNumId w:val="31"/>
  </w:num>
  <w:num w:numId="21" w16cid:durableId="1104156284">
    <w:abstractNumId w:val="1"/>
  </w:num>
  <w:num w:numId="22" w16cid:durableId="312947282">
    <w:abstractNumId w:val="22"/>
  </w:num>
  <w:num w:numId="23" w16cid:durableId="392627382">
    <w:abstractNumId w:val="24"/>
  </w:num>
  <w:num w:numId="24" w16cid:durableId="1068457689">
    <w:abstractNumId w:val="16"/>
  </w:num>
  <w:num w:numId="25" w16cid:durableId="1127312469">
    <w:abstractNumId w:val="7"/>
  </w:num>
  <w:num w:numId="26" w16cid:durableId="2019387424">
    <w:abstractNumId w:val="4"/>
  </w:num>
  <w:num w:numId="27" w16cid:durableId="1196040999">
    <w:abstractNumId w:val="17"/>
  </w:num>
  <w:num w:numId="28" w16cid:durableId="711274546">
    <w:abstractNumId w:val="5"/>
  </w:num>
  <w:num w:numId="29" w16cid:durableId="496579281">
    <w:abstractNumId w:val="3"/>
  </w:num>
  <w:num w:numId="30" w16cid:durableId="1124352820">
    <w:abstractNumId w:val="21"/>
  </w:num>
  <w:num w:numId="31" w16cid:durableId="447554047">
    <w:abstractNumId w:val="13"/>
  </w:num>
  <w:num w:numId="32" w16cid:durableId="169948879">
    <w:abstractNumId w:val="26"/>
  </w:num>
  <w:num w:numId="33" w16cid:durableId="253630579">
    <w:abstractNumId w:val="8"/>
  </w:num>
  <w:num w:numId="34" w16cid:durableId="2074501551">
    <w:abstractNumId w:val="0"/>
  </w:num>
  <w:num w:numId="35" w16cid:durableId="1330715297">
    <w:abstractNumId w:val="23"/>
  </w:num>
  <w:num w:numId="36" w16cid:durableId="174268458">
    <w:abstractNumId w:val="6"/>
  </w:num>
  <w:num w:numId="37" w16cid:durableId="1884633234">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nb-NO" w:vendorID="64" w:dllVersion="6" w:nlCheck="1" w:checkStyle="0"/>
  <w:activeWritingStyle w:appName="MSWord" w:lang="it-IT" w:vendorID="64" w:dllVersion="6" w:nlCheck="1" w:checkStyle="0"/>
  <w:activeWritingStyle w:appName="MSWord" w:lang="en-AU" w:vendorID="64" w:dllVersion="6" w:nlCheck="1" w:checkStyle="1"/>
  <w:activeWritingStyle w:appName="MSWord" w:lang="fr-FR" w:vendorID="64" w:dllVersion="6" w:nlCheck="1" w:checkStyle="1"/>
  <w:activeWritingStyle w:appName="MSWord" w:lang="en-GB" w:vendorID="64" w:dllVersion="4096" w:nlCheck="1" w:checkStyle="0"/>
  <w:activeWritingStyle w:appName="MSWord" w:lang="hu-HU"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hu-HU" w:vendorID="64" w:dllVersion="0" w:nlCheck="1" w:checkStyle="0"/>
  <w:activeWritingStyle w:appName="MSWord" w:lang="fr-BE" w:vendorID="64" w:dllVersion="4096" w:nlCheck="1" w:checkStyle="0"/>
  <w:activeWritingStyle w:appName="MSWord" w:lang="it-IT" w:vendorID="64" w:dllVersion="4096" w:nlCheck="1" w:checkStyle="0"/>
  <w:activeWritingStyle w:appName="MSWord" w:lang="en-US" w:vendorID="64" w:dllVersion="0" w:nlCheck="1" w:checkStyle="0"/>
  <w:activeWritingStyle w:appName="MSWord" w:lang="fr-BE" w:vendorID="64" w:dllVersion="0" w:nlCheck="1" w:checkStyle="0"/>
  <w:activeWritingStyle w:appName="MSWord" w:lang="fr-FR" w:vendorID="64" w:dllVersion="0" w:nlCheck="1" w:checkStyle="0"/>
  <w:activeWritingStyle w:appName="MSWord" w:lang="it-IT" w:vendorID="64" w:dllVersion="0" w:nlCheck="1" w:checkStyle="0"/>
  <w:activeWritingStyle w:appName="MSWord" w:lang="en-AU"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1MjIwNzA1NDKyMDVR0lEKTi0uzszPAykwrgUAQnY+qiwAAAA="/>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5D17A871-8240-45F0-8D7C-9C105E8DB096"/>
    <w:docVar w:name="LW_COVERPAGE_TYPE" w:val="1"/>
    <w:docVar w:name="LW_CROSSREFERENCE" w:val="{SEC(2018) 268 final}_x000a_{SWD(2018) 282 final}_x000a_{SWD(2018) 283 final}"/>
    <w:docVar w:name="LW_DocType" w:val="NORMAL"/>
    <w:docVar w:name="LW_EMISSION" w:val="29.5.2018"/>
    <w:docVar w:name="LW_EMISSION_ISODATE" w:val="2018-05-29"/>
    <w:docVar w:name="LW_EMISSION_LOCATION" w:val="BRX"/>
    <w:docVar w:name="LW_EMISSION_PREFIX" w:val="Strasbourg,"/>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specific provisions for the European territorial cooperation goal (Interreg) supported by the European Regional Development Fund and external financing instruments_x000b_"/>
    <w:docVar w:name="LW_PART_NBR" w:val="1"/>
    <w:docVar w:name="LW_PART_NBR_TOTAL" w:val="1"/>
    <w:docVar w:name="LW_REF.INST.NEW" w:val="COM"/>
    <w:docVar w:name="LW_REF.INST.NEW_ADOPTED" w:val="final"/>
    <w:docVar w:name="LW_REF.INST.NEW_TEXT" w:val="(2018) 3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_x000b_"/>
    <w:docVar w:name="LW_TYPEACTEPRINCIPAL.CP" w:val="Proposal for a_x000b__x000b_REGULATION OF THE EUROPEAN PARLIAMENT AND OF THE COUNCIL"/>
  </w:docVars>
  <w:rsids>
    <w:rsidRoot w:val="003437D0"/>
    <w:rsid w:val="00000E7F"/>
    <w:rsid w:val="0000252F"/>
    <w:rsid w:val="000025F6"/>
    <w:rsid w:val="000038C5"/>
    <w:rsid w:val="00005559"/>
    <w:rsid w:val="00007F93"/>
    <w:rsid w:val="00010849"/>
    <w:rsid w:val="00010991"/>
    <w:rsid w:val="0001780A"/>
    <w:rsid w:val="00017E97"/>
    <w:rsid w:val="00021FBC"/>
    <w:rsid w:val="0002422E"/>
    <w:rsid w:val="00025E19"/>
    <w:rsid w:val="00027E39"/>
    <w:rsid w:val="00030C18"/>
    <w:rsid w:val="00034126"/>
    <w:rsid w:val="00042CF8"/>
    <w:rsid w:val="00042D5F"/>
    <w:rsid w:val="0004495A"/>
    <w:rsid w:val="00046390"/>
    <w:rsid w:val="000477DE"/>
    <w:rsid w:val="00051840"/>
    <w:rsid w:val="00051E55"/>
    <w:rsid w:val="000534C7"/>
    <w:rsid w:val="00054EC7"/>
    <w:rsid w:val="0005594D"/>
    <w:rsid w:val="00056B42"/>
    <w:rsid w:val="0005709D"/>
    <w:rsid w:val="0006261A"/>
    <w:rsid w:val="00063C9D"/>
    <w:rsid w:val="00063DAD"/>
    <w:rsid w:val="0006482D"/>
    <w:rsid w:val="0006653C"/>
    <w:rsid w:val="0006730E"/>
    <w:rsid w:val="00070790"/>
    <w:rsid w:val="00070A7F"/>
    <w:rsid w:val="000719AE"/>
    <w:rsid w:val="00075ABC"/>
    <w:rsid w:val="00076572"/>
    <w:rsid w:val="00076A0E"/>
    <w:rsid w:val="000770BF"/>
    <w:rsid w:val="000773C7"/>
    <w:rsid w:val="00080A34"/>
    <w:rsid w:val="000813AC"/>
    <w:rsid w:val="00081C47"/>
    <w:rsid w:val="00085983"/>
    <w:rsid w:val="00085D9F"/>
    <w:rsid w:val="000904DD"/>
    <w:rsid w:val="00090DCF"/>
    <w:rsid w:val="000919A1"/>
    <w:rsid w:val="00093269"/>
    <w:rsid w:val="000A2CEC"/>
    <w:rsid w:val="000A3D6F"/>
    <w:rsid w:val="000A528D"/>
    <w:rsid w:val="000A5853"/>
    <w:rsid w:val="000B00AE"/>
    <w:rsid w:val="000B0CE7"/>
    <w:rsid w:val="000B18DA"/>
    <w:rsid w:val="000B2CD9"/>
    <w:rsid w:val="000B45BF"/>
    <w:rsid w:val="000B724F"/>
    <w:rsid w:val="000B7B98"/>
    <w:rsid w:val="000C138C"/>
    <w:rsid w:val="000C2C88"/>
    <w:rsid w:val="000C38A6"/>
    <w:rsid w:val="000C4A9D"/>
    <w:rsid w:val="000C67DE"/>
    <w:rsid w:val="000C7C10"/>
    <w:rsid w:val="000D1708"/>
    <w:rsid w:val="000D4C44"/>
    <w:rsid w:val="000D5524"/>
    <w:rsid w:val="000D59AB"/>
    <w:rsid w:val="000D5E9F"/>
    <w:rsid w:val="000D73B0"/>
    <w:rsid w:val="000E21E6"/>
    <w:rsid w:val="000E22A1"/>
    <w:rsid w:val="000E2550"/>
    <w:rsid w:val="000E2B1A"/>
    <w:rsid w:val="000E4DA8"/>
    <w:rsid w:val="000F002F"/>
    <w:rsid w:val="000F005D"/>
    <w:rsid w:val="000F01DC"/>
    <w:rsid w:val="000F6BA9"/>
    <w:rsid w:val="000F7B3B"/>
    <w:rsid w:val="001003B2"/>
    <w:rsid w:val="00102B0C"/>
    <w:rsid w:val="001039B6"/>
    <w:rsid w:val="00104A57"/>
    <w:rsid w:val="00110615"/>
    <w:rsid w:val="001111DF"/>
    <w:rsid w:val="00117D51"/>
    <w:rsid w:val="001204B1"/>
    <w:rsid w:val="0012758C"/>
    <w:rsid w:val="00130057"/>
    <w:rsid w:val="001312D5"/>
    <w:rsid w:val="00131A22"/>
    <w:rsid w:val="001337A2"/>
    <w:rsid w:val="001346CD"/>
    <w:rsid w:val="00135E3C"/>
    <w:rsid w:val="00136CAD"/>
    <w:rsid w:val="00137F6C"/>
    <w:rsid w:val="00140BC8"/>
    <w:rsid w:val="00143196"/>
    <w:rsid w:val="00143923"/>
    <w:rsid w:val="00143D9A"/>
    <w:rsid w:val="001442E5"/>
    <w:rsid w:val="00144E9A"/>
    <w:rsid w:val="00145BDC"/>
    <w:rsid w:val="0014631C"/>
    <w:rsid w:val="00150745"/>
    <w:rsid w:val="001542B1"/>
    <w:rsid w:val="00156220"/>
    <w:rsid w:val="00156908"/>
    <w:rsid w:val="00156D78"/>
    <w:rsid w:val="00157172"/>
    <w:rsid w:val="001667B1"/>
    <w:rsid w:val="00170C49"/>
    <w:rsid w:val="00171344"/>
    <w:rsid w:val="00173F26"/>
    <w:rsid w:val="00174F76"/>
    <w:rsid w:val="00175C07"/>
    <w:rsid w:val="00176AA3"/>
    <w:rsid w:val="0018107F"/>
    <w:rsid w:val="0018339D"/>
    <w:rsid w:val="0018543A"/>
    <w:rsid w:val="00185A31"/>
    <w:rsid w:val="001873DF"/>
    <w:rsid w:val="001915FD"/>
    <w:rsid w:val="00191DE8"/>
    <w:rsid w:val="00191FF8"/>
    <w:rsid w:val="0019247E"/>
    <w:rsid w:val="00193D1D"/>
    <w:rsid w:val="00194AFC"/>
    <w:rsid w:val="00196877"/>
    <w:rsid w:val="001A0F98"/>
    <w:rsid w:val="001A3269"/>
    <w:rsid w:val="001A3B9C"/>
    <w:rsid w:val="001A434D"/>
    <w:rsid w:val="001A4580"/>
    <w:rsid w:val="001A4E02"/>
    <w:rsid w:val="001B2C6A"/>
    <w:rsid w:val="001B710D"/>
    <w:rsid w:val="001B71CC"/>
    <w:rsid w:val="001B7E1D"/>
    <w:rsid w:val="001C1165"/>
    <w:rsid w:val="001C1BC6"/>
    <w:rsid w:val="001C3A82"/>
    <w:rsid w:val="001C429C"/>
    <w:rsid w:val="001C431F"/>
    <w:rsid w:val="001C6BFF"/>
    <w:rsid w:val="001C7D0A"/>
    <w:rsid w:val="001D3126"/>
    <w:rsid w:val="001D32F2"/>
    <w:rsid w:val="001D35CB"/>
    <w:rsid w:val="001D3CB3"/>
    <w:rsid w:val="001D4032"/>
    <w:rsid w:val="001D6EA8"/>
    <w:rsid w:val="001D7531"/>
    <w:rsid w:val="001E230B"/>
    <w:rsid w:val="001E435B"/>
    <w:rsid w:val="001E5BF4"/>
    <w:rsid w:val="001E5DCA"/>
    <w:rsid w:val="001F005F"/>
    <w:rsid w:val="001F39CD"/>
    <w:rsid w:val="00200B02"/>
    <w:rsid w:val="00201754"/>
    <w:rsid w:val="002021BE"/>
    <w:rsid w:val="002028E1"/>
    <w:rsid w:val="00202A5B"/>
    <w:rsid w:val="00203FCC"/>
    <w:rsid w:val="00205179"/>
    <w:rsid w:val="00207736"/>
    <w:rsid w:val="0021120B"/>
    <w:rsid w:val="00213502"/>
    <w:rsid w:val="00214C46"/>
    <w:rsid w:val="002174D7"/>
    <w:rsid w:val="002201F4"/>
    <w:rsid w:val="002221D3"/>
    <w:rsid w:val="002223E2"/>
    <w:rsid w:val="002239CC"/>
    <w:rsid w:val="00224245"/>
    <w:rsid w:val="002267EE"/>
    <w:rsid w:val="0022740A"/>
    <w:rsid w:val="00231532"/>
    <w:rsid w:val="00231937"/>
    <w:rsid w:val="00231DDB"/>
    <w:rsid w:val="0023381D"/>
    <w:rsid w:val="00233AEF"/>
    <w:rsid w:val="00234BD9"/>
    <w:rsid w:val="00235080"/>
    <w:rsid w:val="00235795"/>
    <w:rsid w:val="00235977"/>
    <w:rsid w:val="00236481"/>
    <w:rsid w:val="00241731"/>
    <w:rsid w:val="00243A7E"/>
    <w:rsid w:val="00244190"/>
    <w:rsid w:val="00245E77"/>
    <w:rsid w:val="00247A39"/>
    <w:rsid w:val="00250891"/>
    <w:rsid w:val="00250BE0"/>
    <w:rsid w:val="00251119"/>
    <w:rsid w:val="0025178F"/>
    <w:rsid w:val="0025311C"/>
    <w:rsid w:val="00254A7B"/>
    <w:rsid w:val="00255425"/>
    <w:rsid w:val="00256F9B"/>
    <w:rsid w:val="00261405"/>
    <w:rsid w:val="00263380"/>
    <w:rsid w:val="00264833"/>
    <w:rsid w:val="00264CD1"/>
    <w:rsid w:val="00266FB0"/>
    <w:rsid w:val="002675E0"/>
    <w:rsid w:val="002678BA"/>
    <w:rsid w:val="00267B4B"/>
    <w:rsid w:val="002717CC"/>
    <w:rsid w:val="00271A55"/>
    <w:rsid w:val="00272A7A"/>
    <w:rsid w:val="0027372B"/>
    <w:rsid w:val="00277083"/>
    <w:rsid w:val="00281FEB"/>
    <w:rsid w:val="00284CCF"/>
    <w:rsid w:val="0028755E"/>
    <w:rsid w:val="00287590"/>
    <w:rsid w:val="00292D70"/>
    <w:rsid w:val="00294300"/>
    <w:rsid w:val="00296D06"/>
    <w:rsid w:val="00297A69"/>
    <w:rsid w:val="002A15B5"/>
    <w:rsid w:val="002A387C"/>
    <w:rsid w:val="002A4663"/>
    <w:rsid w:val="002A60D3"/>
    <w:rsid w:val="002A6375"/>
    <w:rsid w:val="002B152D"/>
    <w:rsid w:val="002B1BA3"/>
    <w:rsid w:val="002B208A"/>
    <w:rsid w:val="002B28D0"/>
    <w:rsid w:val="002B2966"/>
    <w:rsid w:val="002B2CDA"/>
    <w:rsid w:val="002B3701"/>
    <w:rsid w:val="002B4863"/>
    <w:rsid w:val="002B6F3E"/>
    <w:rsid w:val="002B7D70"/>
    <w:rsid w:val="002C0EC7"/>
    <w:rsid w:val="002C2860"/>
    <w:rsid w:val="002C4765"/>
    <w:rsid w:val="002C5279"/>
    <w:rsid w:val="002C5FC7"/>
    <w:rsid w:val="002C62F7"/>
    <w:rsid w:val="002C717A"/>
    <w:rsid w:val="002D2760"/>
    <w:rsid w:val="002D30B9"/>
    <w:rsid w:val="002D49A7"/>
    <w:rsid w:val="002E0340"/>
    <w:rsid w:val="002E05DE"/>
    <w:rsid w:val="002E2072"/>
    <w:rsid w:val="002E2A74"/>
    <w:rsid w:val="002E5CD1"/>
    <w:rsid w:val="002F12BD"/>
    <w:rsid w:val="002F287B"/>
    <w:rsid w:val="002F63CC"/>
    <w:rsid w:val="00300F46"/>
    <w:rsid w:val="00301B61"/>
    <w:rsid w:val="00303F22"/>
    <w:rsid w:val="003051FE"/>
    <w:rsid w:val="003063F4"/>
    <w:rsid w:val="00312C97"/>
    <w:rsid w:val="0031360A"/>
    <w:rsid w:val="00314CFB"/>
    <w:rsid w:val="003161E5"/>
    <w:rsid w:val="00320570"/>
    <w:rsid w:val="00321F12"/>
    <w:rsid w:val="003259B2"/>
    <w:rsid w:val="0032747B"/>
    <w:rsid w:val="0033211F"/>
    <w:rsid w:val="00342323"/>
    <w:rsid w:val="003437D0"/>
    <w:rsid w:val="003439F1"/>
    <w:rsid w:val="003440B5"/>
    <w:rsid w:val="003449DC"/>
    <w:rsid w:val="003456AE"/>
    <w:rsid w:val="00345782"/>
    <w:rsid w:val="00352497"/>
    <w:rsid w:val="0035347D"/>
    <w:rsid w:val="0035403B"/>
    <w:rsid w:val="00354B51"/>
    <w:rsid w:val="00354F83"/>
    <w:rsid w:val="00357292"/>
    <w:rsid w:val="00360CA7"/>
    <w:rsid w:val="003623C8"/>
    <w:rsid w:val="0036334E"/>
    <w:rsid w:val="00367D28"/>
    <w:rsid w:val="00371F6B"/>
    <w:rsid w:val="0037367C"/>
    <w:rsid w:val="00373F44"/>
    <w:rsid w:val="0037639A"/>
    <w:rsid w:val="00380A88"/>
    <w:rsid w:val="00382FF3"/>
    <w:rsid w:val="00385DAD"/>
    <w:rsid w:val="003861B2"/>
    <w:rsid w:val="0038679F"/>
    <w:rsid w:val="00390C39"/>
    <w:rsid w:val="00390D20"/>
    <w:rsid w:val="0039110F"/>
    <w:rsid w:val="0039159A"/>
    <w:rsid w:val="003954E1"/>
    <w:rsid w:val="003958A4"/>
    <w:rsid w:val="003967D4"/>
    <w:rsid w:val="00396E3B"/>
    <w:rsid w:val="003A24D4"/>
    <w:rsid w:val="003A2605"/>
    <w:rsid w:val="003A2D15"/>
    <w:rsid w:val="003A33B3"/>
    <w:rsid w:val="003A39F9"/>
    <w:rsid w:val="003B27EF"/>
    <w:rsid w:val="003B2EAD"/>
    <w:rsid w:val="003B300C"/>
    <w:rsid w:val="003B6C4C"/>
    <w:rsid w:val="003C0C77"/>
    <w:rsid w:val="003C31E2"/>
    <w:rsid w:val="003C4DAC"/>
    <w:rsid w:val="003C6744"/>
    <w:rsid w:val="003C6C2D"/>
    <w:rsid w:val="003D45AD"/>
    <w:rsid w:val="003D527D"/>
    <w:rsid w:val="003D763F"/>
    <w:rsid w:val="003E020F"/>
    <w:rsid w:val="003E084B"/>
    <w:rsid w:val="003E0DBA"/>
    <w:rsid w:val="003E2B69"/>
    <w:rsid w:val="003E4428"/>
    <w:rsid w:val="003E5BE6"/>
    <w:rsid w:val="003E60DE"/>
    <w:rsid w:val="003E6143"/>
    <w:rsid w:val="003E747F"/>
    <w:rsid w:val="003F04B0"/>
    <w:rsid w:val="003F4D33"/>
    <w:rsid w:val="003F5095"/>
    <w:rsid w:val="003F549D"/>
    <w:rsid w:val="003F5F91"/>
    <w:rsid w:val="003F654A"/>
    <w:rsid w:val="00400F84"/>
    <w:rsid w:val="0040263D"/>
    <w:rsid w:val="00402BD1"/>
    <w:rsid w:val="00402BFD"/>
    <w:rsid w:val="00402DFC"/>
    <w:rsid w:val="00406785"/>
    <w:rsid w:val="00410CED"/>
    <w:rsid w:val="0041109B"/>
    <w:rsid w:val="00411590"/>
    <w:rsid w:val="00412716"/>
    <w:rsid w:val="004136AB"/>
    <w:rsid w:val="00414407"/>
    <w:rsid w:val="0041443C"/>
    <w:rsid w:val="00414E81"/>
    <w:rsid w:val="004153C4"/>
    <w:rsid w:val="0041594F"/>
    <w:rsid w:val="00423A94"/>
    <w:rsid w:val="00423BA8"/>
    <w:rsid w:val="004270CF"/>
    <w:rsid w:val="00427CEA"/>
    <w:rsid w:val="00427FC4"/>
    <w:rsid w:val="004325FD"/>
    <w:rsid w:val="00433614"/>
    <w:rsid w:val="00435C06"/>
    <w:rsid w:val="0043611D"/>
    <w:rsid w:val="00437F88"/>
    <w:rsid w:val="00442180"/>
    <w:rsid w:val="00444C3D"/>
    <w:rsid w:val="0044534E"/>
    <w:rsid w:val="00451137"/>
    <w:rsid w:val="00452148"/>
    <w:rsid w:val="004525E3"/>
    <w:rsid w:val="00453250"/>
    <w:rsid w:val="00455293"/>
    <w:rsid w:val="00457431"/>
    <w:rsid w:val="00462BF7"/>
    <w:rsid w:val="00464102"/>
    <w:rsid w:val="00470A16"/>
    <w:rsid w:val="00471E00"/>
    <w:rsid w:val="00473192"/>
    <w:rsid w:val="0047372E"/>
    <w:rsid w:val="00475627"/>
    <w:rsid w:val="00476CCA"/>
    <w:rsid w:val="004813AB"/>
    <w:rsid w:val="00483545"/>
    <w:rsid w:val="004840C7"/>
    <w:rsid w:val="00485B91"/>
    <w:rsid w:val="00486B8B"/>
    <w:rsid w:val="00490EA9"/>
    <w:rsid w:val="004910C0"/>
    <w:rsid w:val="004917C1"/>
    <w:rsid w:val="00492573"/>
    <w:rsid w:val="004929E5"/>
    <w:rsid w:val="0049492F"/>
    <w:rsid w:val="00494F38"/>
    <w:rsid w:val="00495812"/>
    <w:rsid w:val="00496F6D"/>
    <w:rsid w:val="004A11F4"/>
    <w:rsid w:val="004A63C8"/>
    <w:rsid w:val="004A6C98"/>
    <w:rsid w:val="004B06B4"/>
    <w:rsid w:val="004B1A6B"/>
    <w:rsid w:val="004B35DE"/>
    <w:rsid w:val="004B3F64"/>
    <w:rsid w:val="004B4BBE"/>
    <w:rsid w:val="004B65F6"/>
    <w:rsid w:val="004B6C38"/>
    <w:rsid w:val="004C08AD"/>
    <w:rsid w:val="004C13D0"/>
    <w:rsid w:val="004C1C77"/>
    <w:rsid w:val="004C2383"/>
    <w:rsid w:val="004C2459"/>
    <w:rsid w:val="004C2F39"/>
    <w:rsid w:val="004C3E59"/>
    <w:rsid w:val="004C41F7"/>
    <w:rsid w:val="004C5F64"/>
    <w:rsid w:val="004C70DA"/>
    <w:rsid w:val="004C7DE8"/>
    <w:rsid w:val="004D033D"/>
    <w:rsid w:val="004D5889"/>
    <w:rsid w:val="004D6C36"/>
    <w:rsid w:val="004E11C9"/>
    <w:rsid w:val="004E1B7E"/>
    <w:rsid w:val="004E4000"/>
    <w:rsid w:val="004E42AC"/>
    <w:rsid w:val="004E4428"/>
    <w:rsid w:val="004E4B5A"/>
    <w:rsid w:val="004E5988"/>
    <w:rsid w:val="004E624C"/>
    <w:rsid w:val="004E62A7"/>
    <w:rsid w:val="004E6A90"/>
    <w:rsid w:val="004E6BF9"/>
    <w:rsid w:val="004F0B28"/>
    <w:rsid w:val="004F0BAF"/>
    <w:rsid w:val="004F0F8C"/>
    <w:rsid w:val="004F3291"/>
    <w:rsid w:val="004F6FE6"/>
    <w:rsid w:val="004F7009"/>
    <w:rsid w:val="004F7F28"/>
    <w:rsid w:val="00501312"/>
    <w:rsid w:val="00501B79"/>
    <w:rsid w:val="005022A7"/>
    <w:rsid w:val="00504B06"/>
    <w:rsid w:val="00504BA3"/>
    <w:rsid w:val="00505857"/>
    <w:rsid w:val="00510B99"/>
    <w:rsid w:val="00511278"/>
    <w:rsid w:val="00514EC9"/>
    <w:rsid w:val="00514FC7"/>
    <w:rsid w:val="00516243"/>
    <w:rsid w:val="00517C53"/>
    <w:rsid w:val="00520C2A"/>
    <w:rsid w:val="00521663"/>
    <w:rsid w:val="00521B11"/>
    <w:rsid w:val="00522A12"/>
    <w:rsid w:val="00525922"/>
    <w:rsid w:val="00525D90"/>
    <w:rsid w:val="005315D5"/>
    <w:rsid w:val="00532D46"/>
    <w:rsid w:val="00533A9B"/>
    <w:rsid w:val="00536182"/>
    <w:rsid w:val="0054055C"/>
    <w:rsid w:val="00540B1B"/>
    <w:rsid w:val="005424DE"/>
    <w:rsid w:val="005425B5"/>
    <w:rsid w:val="00544494"/>
    <w:rsid w:val="00546E8B"/>
    <w:rsid w:val="00551BF1"/>
    <w:rsid w:val="0055208A"/>
    <w:rsid w:val="00555E9D"/>
    <w:rsid w:val="005568AA"/>
    <w:rsid w:val="005577D0"/>
    <w:rsid w:val="0056101E"/>
    <w:rsid w:val="00571392"/>
    <w:rsid w:val="00573083"/>
    <w:rsid w:val="0057322B"/>
    <w:rsid w:val="005752EF"/>
    <w:rsid w:val="00575B42"/>
    <w:rsid w:val="00575DA3"/>
    <w:rsid w:val="005800C8"/>
    <w:rsid w:val="00582A9F"/>
    <w:rsid w:val="00584A53"/>
    <w:rsid w:val="005864DC"/>
    <w:rsid w:val="005871B3"/>
    <w:rsid w:val="0059069C"/>
    <w:rsid w:val="00591829"/>
    <w:rsid w:val="00592FB8"/>
    <w:rsid w:val="00595009"/>
    <w:rsid w:val="0059692F"/>
    <w:rsid w:val="005A0148"/>
    <w:rsid w:val="005A0BDA"/>
    <w:rsid w:val="005A0DF7"/>
    <w:rsid w:val="005A17FB"/>
    <w:rsid w:val="005A24F6"/>
    <w:rsid w:val="005A29B6"/>
    <w:rsid w:val="005A374B"/>
    <w:rsid w:val="005A6BFB"/>
    <w:rsid w:val="005A7CF2"/>
    <w:rsid w:val="005B05AD"/>
    <w:rsid w:val="005B25F1"/>
    <w:rsid w:val="005B2CF1"/>
    <w:rsid w:val="005B3976"/>
    <w:rsid w:val="005B45F5"/>
    <w:rsid w:val="005B502B"/>
    <w:rsid w:val="005B5426"/>
    <w:rsid w:val="005C11B1"/>
    <w:rsid w:val="005C168B"/>
    <w:rsid w:val="005C28EC"/>
    <w:rsid w:val="005C3E99"/>
    <w:rsid w:val="005C5FC5"/>
    <w:rsid w:val="005C6CF2"/>
    <w:rsid w:val="005C7524"/>
    <w:rsid w:val="005D2364"/>
    <w:rsid w:val="005E0398"/>
    <w:rsid w:val="005E189D"/>
    <w:rsid w:val="005E2B63"/>
    <w:rsid w:val="005E3D06"/>
    <w:rsid w:val="005E7B2C"/>
    <w:rsid w:val="005F0A08"/>
    <w:rsid w:val="005F3ADE"/>
    <w:rsid w:val="005F3D68"/>
    <w:rsid w:val="005F4FB0"/>
    <w:rsid w:val="005F525E"/>
    <w:rsid w:val="005F71BD"/>
    <w:rsid w:val="00602555"/>
    <w:rsid w:val="006068BA"/>
    <w:rsid w:val="00611C84"/>
    <w:rsid w:val="00613541"/>
    <w:rsid w:val="006142B1"/>
    <w:rsid w:val="0061581D"/>
    <w:rsid w:val="00615BBC"/>
    <w:rsid w:val="006174BC"/>
    <w:rsid w:val="006216AF"/>
    <w:rsid w:val="00622E11"/>
    <w:rsid w:val="00623617"/>
    <w:rsid w:val="00625CDE"/>
    <w:rsid w:val="00632C54"/>
    <w:rsid w:val="00633987"/>
    <w:rsid w:val="0063729B"/>
    <w:rsid w:val="006413AB"/>
    <w:rsid w:val="0064236C"/>
    <w:rsid w:val="0064535E"/>
    <w:rsid w:val="0064578A"/>
    <w:rsid w:val="00652351"/>
    <w:rsid w:val="00656236"/>
    <w:rsid w:val="0065715A"/>
    <w:rsid w:val="00657B80"/>
    <w:rsid w:val="00661937"/>
    <w:rsid w:val="0066701A"/>
    <w:rsid w:val="006702B6"/>
    <w:rsid w:val="00670934"/>
    <w:rsid w:val="00671BC0"/>
    <w:rsid w:val="00674BA8"/>
    <w:rsid w:val="00674D75"/>
    <w:rsid w:val="00675D07"/>
    <w:rsid w:val="006814C8"/>
    <w:rsid w:val="006838D8"/>
    <w:rsid w:val="00684E2A"/>
    <w:rsid w:val="0068529D"/>
    <w:rsid w:val="00685D17"/>
    <w:rsid w:val="0069255D"/>
    <w:rsid w:val="006935E9"/>
    <w:rsid w:val="00697DB7"/>
    <w:rsid w:val="006A0940"/>
    <w:rsid w:val="006A3752"/>
    <w:rsid w:val="006B1993"/>
    <w:rsid w:val="006B1A76"/>
    <w:rsid w:val="006B3050"/>
    <w:rsid w:val="006B3DF2"/>
    <w:rsid w:val="006B5674"/>
    <w:rsid w:val="006B7549"/>
    <w:rsid w:val="006C02FE"/>
    <w:rsid w:val="006C1798"/>
    <w:rsid w:val="006C1975"/>
    <w:rsid w:val="006C2922"/>
    <w:rsid w:val="006C43CF"/>
    <w:rsid w:val="006C5284"/>
    <w:rsid w:val="006C751E"/>
    <w:rsid w:val="006C789B"/>
    <w:rsid w:val="006C7F7B"/>
    <w:rsid w:val="006D22B0"/>
    <w:rsid w:val="006D25FD"/>
    <w:rsid w:val="006D3102"/>
    <w:rsid w:val="006D3EED"/>
    <w:rsid w:val="006D5DF3"/>
    <w:rsid w:val="006D7385"/>
    <w:rsid w:val="006E5A83"/>
    <w:rsid w:val="006E5BDD"/>
    <w:rsid w:val="006E6F29"/>
    <w:rsid w:val="006F0686"/>
    <w:rsid w:val="006F0D19"/>
    <w:rsid w:val="006F2783"/>
    <w:rsid w:val="006F72B9"/>
    <w:rsid w:val="006F7468"/>
    <w:rsid w:val="00701B24"/>
    <w:rsid w:val="00701DBE"/>
    <w:rsid w:val="00702C18"/>
    <w:rsid w:val="00706F01"/>
    <w:rsid w:val="00710AD9"/>
    <w:rsid w:val="00713982"/>
    <w:rsid w:val="007144E8"/>
    <w:rsid w:val="00717B83"/>
    <w:rsid w:val="00722F29"/>
    <w:rsid w:val="007256ED"/>
    <w:rsid w:val="00730B6C"/>
    <w:rsid w:val="007333FE"/>
    <w:rsid w:val="00733549"/>
    <w:rsid w:val="00735F61"/>
    <w:rsid w:val="007369E6"/>
    <w:rsid w:val="0073790E"/>
    <w:rsid w:val="00740366"/>
    <w:rsid w:val="00741D12"/>
    <w:rsid w:val="007426CA"/>
    <w:rsid w:val="0074418B"/>
    <w:rsid w:val="00750404"/>
    <w:rsid w:val="00753C82"/>
    <w:rsid w:val="00755F06"/>
    <w:rsid w:val="007561EE"/>
    <w:rsid w:val="0075745D"/>
    <w:rsid w:val="0076253B"/>
    <w:rsid w:val="00764ACE"/>
    <w:rsid w:val="00765A3D"/>
    <w:rsid w:val="007660F8"/>
    <w:rsid w:val="00766E67"/>
    <w:rsid w:val="00767FEB"/>
    <w:rsid w:val="007712B8"/>
    <w:rsid w:val="00771414"/>
    <w:rsid w:val="00771BEA"/>
    <w:rsid w:val="007747BA"/>
    <w:rsid w:val="0077638A"/>
    <w:rsid w:val="007858B1"/>
    <w:rsid w:val="00785D0C"/>
    <w:rsid w:val="007866A6"/>
    <w:rsid w:val="00786D51"/>
    <w:rsid w:val="0078717A"/>
    <w:rsid w:val="00787F05"/>
    <w:rsid w:val="007903C8"/>
    <w:rsid w:val="0079105B"/>
    <w:rsid w:val="007954B7"/>
    <w:rsid w:val="007959FD"/>
    <w:rsid w:val="007A0E28"/>
    <w:rsid w:val="007A1C9F"/>
    <w:rsid w:val="007A26D5"/>
    <w:rsid w:val="007A333F"/>
    <w:rsid w:val="007A34AB"/>
    <w:rsid w:val="007A43F1"/>
    <w:rsid w:val="007A5186"/>
    <w:rsid w:val="007B0E25"/>
    <w:rsid w:val="007B3E54"/>
    <w:rsid w:val="007B497C"/>
    <w:rsid w:val="007B5439"/>
    <w:rsid w:val="007B6925"/>
    <w:rsid w:val="007B76F3"/>
    <w:rsid w:val="007C0B65"/>
    <w:rsid w:val="007C1227"/>
    <w:rsid w:val="007C2E5F"/>
    <w:rsid w:val="007C4DEC"/>
    <w:rsid w:val="007C53AF"/>
    <w:rsid w:val="007C5594"/>
    <w:rsid w:val="007C5830"/>
    <w:rsid w:val="007C7CA1"/>
    <w:rsid w:val="007D0E99"/>
    <w:rsid w:val="007D1A92"/>
    <w:rsid w:val="007D3167"/>
    <w:rsid w:val="007D35EA"/>
    <w:rsid w:val="007D741D"/>
    <w:rsid w:val="007E0D9F"/>
    <w:rsid w:val="007E2C91"/>
    <w:rsid w:val="007E3025"/>
    <w:rsid w:val="007E3161"/>
    <w:rsid w:val="007E36B9"/>
    <w:rsid w:val="007E4AAA"/>
    <w:rsid w:val="007E5E9A"/>
    <w:rsid w:val="007E6F11"/>
    <w:rsid w:val="007E7ADF"/>
    <w:rsid w:val="007F1B02"/>
    <w:rsid w:val="007F20F0"/>
    <w:rsid w:val="007F6822"/>
    <w:rsid w:val="007F7158"/>
    <w:rsid w:val="007F79B6"/>
    <w:rsid w:val="00805D7F"/>
    <w:rsid w:val="00805EB7"/>
    <w:rsid w:val="00806639"/>
    <w:rsid w:val="00811594"/>
    <w:rsid w:val="00813A72"/>
    <w:rsid w:val="008141F4"/>
    <w:rsid w:val="0081446E"/>
    <w:rsid w:val="008203FB"/>
    <w:rsid w:val="0082296F"/>
    <w:rsid w:val="00824851"/>
    <w:rsid w:val="008262A5"/>
    <w:rsid w:val="00831E77"/>
    <w:rsid w:val="008326EE"/>
    <w:rsid w:val="0083359B"/>
    <w:rsid w:val="00834534"/>
    <w:rsid w:val="008348E5"/>
    <w:rsid w:val="0083548F"/>
    <w:rsid w:val="00836D15"/>
    <w:rsid w:val="00837CB5"/>
    <w:rsid w:val="008400EA"/>
    <w:rsid w:val="0084079C"/>
    <w:rsid w:val="00840CED"/>
    <w:rsid w:val="00842C7A"/>
    <w:rsid w:val="0084408F"/>
    <w:rsid w:val="0085271F"/>
    <w:rsid w:val="0085290C"/>
    <w:rsid w:val="008540C7"/>
    <w:rsid w:val="00857218"/>
    <w:rsid w:val="00857276"/>
    <w:rsid w:val="00857824"/>
    <w:rsid w:val="0086186A"/>
    <w:rsid w:val="00862965"/>
    <w:rsid w:val="00864173"/>
    <w:rsid w:val="00864681"/>
    <w:rsid w:val="00864A4B"/>
    <w:rsid w:val="00866414"/>
    <w:rsid w:val="008666FF"/>
    <w:rsid w:val="0086735C"/>
    <w:rsid w:val="00870E0F"/>
    <w:rsid w:val="00872160"/>
    <w:rsid w:val="00872C85"/>
    <w:rsid w:val="00873294"/>
    <w:rsid w:val="00873747"/>
    <w:rsid w:val="00874089"/>
    <w:rsid w:val="00875C43"/>
    <w:rsid w:val="00884E2E"/>
    <w:rsid w:val="0088663D"/>
    <w:rsid w:val="00887775"/>
    <w:rsid w:val="00892B56"/>
    <w:rsid w:val="00893066"/>
    <w:rsid w:val="008937E0"/>
    <w:rsid w:val="0089520A"/>
    <w:rsid w:val="00896FF2"/>
    <w:rsid w:val="0089701E"/>
    <w:rsid w:val="008978A7"/>
    <w:rsid w:val="008A08A5"/>
    <w:rsid w:val="008A1959"/>
    <w:rsid w:val="008A3898"/>
    <w:rsid w:val="008A785D"/>
    <w:rsid w:val="008A7F7C"/>
    <w:rsid w:val="008B16D6"/>
    <w:rsid w:val="008B39CB"/>
    <w:rsid w:val="008B4787"/>
    <w:rsid w:val="008B53B9"/>
    <w:rsid w:val="008B54D4"/>
    <w:rsid w:val="008B581A"/>
    <w:rsid w:val="008B5880"/>
    <w:rsid w:val="008C0678"/>
    <w:rsid w:val="008C1D06"/>
    <w:rsid w:val="008C4BFF"/>
    <w:rsid w:val="008D282F"/>
    <w:rsid w:val="008D3A8E"/>
    <w:rsid w:val="008D4C21"/>
    <w:rsid w:val="008D68DD"/>
    <w:rsid w:val="008D795D"/>
    <w:rsid w:val="008D7B57"/>
    <w:rsid w:val="008D7F20"/>
    <w:rsid w:val="008E0279"/>
    <w:rsid w:val="008E30CE"/>
    <w:rsid w:val="008E4231"/>
    <w:rsid w:val="008E5CC4"/>
    <w:rsid w:val="008E7FC7"/>
    <w:rsid w:val="008F1093"/>
    <w:rsid w:val="00900A54"/>
    <w:rsid w:val="0090125E"/>
    <w:rsid w:val="0090128F"/>
    <w:rsid w:val="00902499"/>
    <w:rsid w:val="00902D57"/>
    <w:rsid w:val="00903AD7"/>
    <w:rsid w:val="009041C4"/>
    <w:rsid w:val="00905111"/>
    <w:rsid w:val="0090528A"/>
    <w:rsid w:val="00905F42"/>
    <w:rsid w:val="00906DF3"/>
    <w:rsid w:val="00906EFD"/>
    <w:rsid w:val="00907AC5"/>
    <w:rsid w:val="00910DE1"/>
    <w:rsid w:val="00910E3E"/>
    <w:rsid w:val="0091407A"/>
    <w:rsid w:val="009158B2"/>
    <w:rsid w:val="00915A49"/>
    <w:rsid w:val="0091632F"/>
    <w:rsid w:val="00916E97"/>
    <w:rsid w:val="00922FB6"/>
    <w:rsid w:val="00923F04"/>
    <w:rsid w:val="00924081"/>
    <w:rsid w:val="00925622"/>
    <w:rsid w:val="00926B83"/>
    <w:rsid w:val="00926D3F"/>
    <w:rsid w:val="00933CBF"/>
    <w:rsid w:val="00933CF3"/>
    <w:rsid w:val="00933D3A"/>
    <w:rsid w:val="00934307"/>
    <w:rsid w:val="009419E8"/>
    <w:rsid w:val="00943A5C"/>
    <w:rsid w:val="00944C62"/>
    <w:rsid w:val="00944E01"/>
    <w:rsid w:val="0094541E"/>
    <w:rsid w:val="009455B2"/>
    <w:rsid w:val="00950ECE"/>
    <w:rsid w:val="00952D4D"/>
    <w:rsid w:val="009536EE"/>
    <w:rsid w:val="00953F99"/>
    <w:rsid w:val="0095675A"/>
    <w:rsid w:val="00960838"/>
    <w:rsid w:val="00963EEB"/>
    <w:rsid w:val="00964CE2"/>
    <w:rsid w:val="0097361F"/>
    <w:rsid w:val="00976A2C"/>
    <w:rsid w:val="0098061E"/>
    <w:rsid w:val="00981A6E"/>
    <w:rsid w:val="00990876"/>
    <w:rsid w:val="00991D5A"/>
    <w:rsid w:val="009920DD"/>
    <w:rsid w:val="00993F1D"/>
    <w:rsid w:val="00993F29"/>
    <w:rsid w:val="009A12B1"/>
    <w:rsid w:val="009A25EC"/>
    <w:rsid w:val="009A2C9D"/>
    <w:rsid w:val="009A4A37"/>
    <w:rsid w:val="009A4C79"/>
    <w:rsid w:val="009A5351"/>
    <w:rsid w:val="009A66E7"/>
    <w:rsid w:val="009B093D"/>
    <w:rsid w:val="009B40C5"/>
    <w:rsid w:val="009B41F8"/>
    <w:rsid w:val="009C05AA"/>
    <w:rsid w:val="009C1ED4"/>
    <w:rsid w:val="009C2F9D"/>
    <w:rsid w:val="009C452A"/>
    <w:rsid w:val="009C4992"/>
    <w:rsid w:val="009C4FCF"/>
    <w:rsid w:val="009C62D5"/>
    <w:rsid w:val="009C76A4"/>
    <w:rsid w:val="009D1C40"/>
    <w:rsid w:val="009D4932"/>
    <w:rsid w:val="009D7B65"/>
    <w:rsid w:val="009E4183"/>
    <w:rsid w:val="009E554E"/>
    <w:rsid w:val="009E653D"/>
    <w:rsid w:val="009E6660"/>
    <w:rsid w:val="009E73B6"/>
    <w:rsid w:val="009F00E1"/>
    <w:rsid w:val="009F217E"/>
    <w:rsid w:val="009F47C0"/>
    <w:rsid w:val="009F6566"/>
    <w:rsid w:val="00A00FA6"/>
    <w:rsid w:val="00A01CF1"/>
    <w:rsid w:val="00A04A89"/>
    <w:rsid w:val="00A0749F"/>
    <w:rsid w:val="00A07AED"/>
    <w:rsid w:val="00A10FBB"/>
    <w:rsid w:val="00A119C5"/>
    <w:rsid w:val="00A13E8C"/>
    <w:rsid w:val="00A17486"/>
    <w:rsid w:val="00A17756"/>
    <w:rsid w:val="00A23750"/>
    <w:rsid w:val="00A23AB5"/>
    <w:rsid w:val="00A23EBF"/>
    <w:rsid w:val="00A27421"/>
    <w:rsid w:val="00A276AC"/>
    <w:rsid w:val="00A320E4"/>
    <w:rsid w:val="00A321AA"/>
    <w:rsid w:val="00A340C0"/>
    <w:rsid w:val="00A3503A"/>
    <w:rsid w:val="00A35B64"/>
    <w:rsid w:val="00A36ED5"/>
    <w:rsid w:val="00A37D59"/>
    <w:rsid w:val="00A40F29"/>
    <w:rsid w:val="00A42D77"/>
    <w:rsid w:val="00A46791"/>
    <w:rsid w:val="00A46A6A"/>
    <w:rsid w:val="00A51DC3"/>
    <w:rsid w:val="00A545EC"/>
    <w:rsid w:val="00A54A7C"/>
    <w:rsid w:val="00A60C57"/>
    <w:rsid w:val="00A6352A"/>
    <w:rsid w:val="00A6414C"/>
    <w:rsid w:val="00A6603B"/>
    <w:rsid w:val="00A662B5"/>
    <w:rsid w:val="00A66719"/>
    <w:rsid w:val="00A66B69"/>
    <w:rsid w:val="00A73CA6"/>
    <w:rsid w:val="00A759BC"/>
    <w:rsid w:val="00A76CF5"/>
    <w:rsid w:val="00A8228D"/>
    <w:rsid w:val="00A82953"/>
    <w:rsid w:val="00A83F15"/>
    <w:rsid w:val="00A850EF"/>
    <w:rsid w:val="00A85C08"/>
    <w:rsid w:val="00A90EF9"/>
    <w:rsid w:val="00A9209D"/>
    <w:rsid w:val="00A967AE"/>
    <w:rsid w:val="00AA1451"/>
    <w:rsid w:val="00AA1911"/>
    <w:rsid w:val="00AA3225"/>
    <w:rsid w:val="00AA4661"/>
    <w:rsid w:val="00AA5411"/>
    <w:rsid w:val="00AB11F5"/>
    <w:rsid w:val="00AB2761"/>
    <w:rsid w:val="00AB29AB"/>
    <w:rsid w:val="00AB4087"/>
    <w:rsid w:val="00AB42C2"/>
    <w:rsid w:val="00AB68D2"/>
    <w:rsid w:val="00AB6928"/>
    <w:rsid w:val="00AC0C2A"/>
    <w:rsid w:val="00AC1793"/>
    <w:rsid w:val="00AC3CC4"/>
    <w:rsid w:val="00AC5A2F"/>
    <w:rsid w:val="00AC5CD6"/>
    <w:rsid w:val="00AC6FBA"/>
    <w:rsid w:val="00AC74C1"/>
    <w:rsid w:val="00AC7A0C"/>
    <w:rsid w:val="00AD16C4"/>
    <w:rsid w:val="00AD1B78"/>
    <w:rsid w:val="00AD260D"/>
    <w:rsid w:val="00AD2C78"/>
    <w:rsid w:val="00AD3DC9"/>
    <w:rsid w:val="00AD52D3"/>
    <w:rsid w:val="00AD65BA"/>
    <w:rsid w:val="00AD6C80"/>
    <w:rsid w:val="00AD7DB8"/>
    <w:rsid w:val="00AE05CD"/>
    <w:rsid w:val="00AE2D6B"/>
    <w:rsid w:val="00AE3286"/>
    <w:rsid w:val="00AE3A3E"/>
    <w:rsid w:val="00AE4FE1"/>
    <w:rsid w:val="00AE503C"/>
    <w:rsid w:val="00AE7A0A"/>
    <w:rsid w:val="00AE7DF2"/>
    <w:rsid w:val="00AF0C10"/>
    <w:rsid w:val="00AF12B2"/>
    <w:rsid w:val="00AF22DD"/>
    <w:rsid w:val="00AF2D8C"/>
    <w:rsid w:val="00AF39B4"/>
    <w:rsid w:val="00AF5828"/>
    <w:rsid w:val="00AF5CBE"/>
    <w:rsid w:val="00AF5E60"/>
    <w:rsid w:val="00AF6C10"/>
    <w:rsid w:val="00B00BE5"/>
    <w:rsid w:val="00B02C58"/>
    <w:rsid w:val="00B04D7C"/>
    <w:rsid w:val="00B04DD4"/>
    <w:rsid w:val="00B0713E"/>
    <w:rsid w:val="00B11F55"/>
    <w:rsid w:val="00B1222F"/>
    <w:rsid w:val="00B12D7D"/>
    <w:rsid w:val="00B14695"/>
    <w:rsid w:val="00B15B5C"/>
    <w:rsid w:val="00B2088B"/>
    <w:rsid w:val="00B21EA8"/>
    <w:rsid w:val="00B22DF1"/>
    <w:rsid w:val="00B2691F"/>
    <w:rsid w:val="00B26BE9"/>
    <w:rsid w:val="00B319EA"/>
    <w:rsid w:val="00B326BE"/>
    <w:rsid w:val="00B35079"/>
    <w:rsid w:val="00B3684B"/>
    <w:rsid w:val="00B4101B"/>
    <w:rsid w:val="00B41438"/>
    <w:rsid w:val="00B44EAB"/>
    <w:rsid w:val="00B50B70"/>
    <w:rsid w:val="00B50CC7"/>
    <w:rsid w:val="00B5759F"/>
    <w:rsid w:val="00B5764B"/>
    <w:rsid w:val="00B578FA"/>
    <w:rsid w:val="00B63165"/>
    <w:rsid w:val="00B637D5"/>
    <w:rsid w:val="00B700F9"/>
    <w:rsid w:val="00B70B43"/>
    <w:rsid w:val="00B723CC"/>
    <w:rsid w:val="00B73A2C"/>
    <w:rsid w:val="00B745F2"/>
    <w:rsid w:val="00B75CD0"/>
    <w:rsid w:val="00B76875"/>
    <w:rsid w:val="00B777F6"/>
    <w:rsid w:val="00B85FF1"/>
    <w:rsid w:val="00B90DDA"/>
    <w:rsid w:val="00B94CCD"/>
    <w:rsid w:val="00B95172"/>
    <w:rsid w:val="00B97D26"/>
    <w:rsid w:val="00BA05EE"/>
    <w:rsid w:val="00BA0F37"/>
    <w:rsid w:val="00BA521D"/>
    <w:rsid w:val="00BA6C9B"/>
    <w:rsid w:val="00BB07AD"/>
    <w:rsid w:val="00BB0E68"/>
    <w:rsid w:val="00BB4892"/>
    <w:rsid w:val="00BC0C00"/>
    <w:rsid w:val="00BC108F"/>
    <w:rsid w:val="00BC1707"/>
    <w:rsid w:val="00BC215A"/>
    <w:rsid w:val="00BC3EE6"/>
    <w:rsid w:val="00BC452D"/>
    <w:rsid w:val="00BC4B71"/>
    <w:rsid w:val="00BC58B4"/>
    <w:rsid w:val="00BC5932"/>
    <w:rsid w:val="00BC78BD"/>
    <w:rsid w:val="00BC7918"/>
    <w:rsid w:val="00BC796F"/>
    <w:rsid w:val="00BC7C13"/>
    <w:rsid w:val="00BC7E7A"/>
    <w:rsid w:val="00BD2658"/>
    <w:rsid w:val="00BD5476"/>
    <w:rsid w:val="00BD55C6"/>
    <w:rsid w:val="00BD5A2E"/>
    <w:rsid w:val="00BD6B4D"/>
    <w:rsid w:val="00BE0F04"/>
    <w:rsid w:val="00BE5D52"/>
    <w:rsid w:val="00BF5064"/>
    <w:rsid w:val="00BF5DBD"/>
    <w:rsid w:val="00BF7A1F"/>
    <w:rsid w:val="00BF7F5D"/>
    <w:rsid w:val="00C0216C"/>
    <w:rsid w:val="00C0454D"/>
    <w:rsid w:val="00C04B19"/>
    <w:rsid w:val="00C051A2"/>
    <w:rsid w:val="00C1538F"/>
    <w:rsid w:val="00C154C2"/>
    <w:rsid w:val="00C15D22"/>
    <w:rsid w:val="00C160F8"/>
    <w:rsid w:val="00C16A5D"/>
    <w:rsid w:val="00C16FF0"/>
    <w:rsid w:val="00C201E2"/>
    <w:rsid w:val="00C20855"/>
    <w:rsid w:val="00C22309"/>
    <w:rsid w:val="00C242C5"/>
    <w:rsid w:val="00C24C43"/>
    <w:rsid w:val="00C258C1"/>
    <w:rsid w:val="00C27824"/>
    <w:rsid w:val="00C27F67"/>
    <w:rsid w:val="00C304FA"/>
    <w:rsid w:val="00C309F8"/>
    <w:rsid w:val="00C30A6A"/>
    <w:rsid w:val="00C31506"/>
    <w:rsid w:val="00C31952"/>
    <w:rsid w:val="00C32A1B"/>
    <w:rsid w:val="00C33337"/>
    <w:rsid w:val="00C35A65"/>
    <w:rsid w:val="00C36CBF"/>
    <w:rsid w:val="00C37CE3"/>
    <w:rsid w:val="00C41F7D"/>
    <w:rsid w:val="00C44629"/>
    <w:rsid w:val="00C44DF7"/>
    <w:rsid w:val="00C46106"/>
    <w:rsid w:val="00C508B5"/>
    <w:rsid w:val="00C517FF"/>
    <w:rsid w:val="00C52587"/>
    <w:rsid w:val="00C54292"/>
    <w:rsid w:val="00C56675"/>
    <w:rsid w:val="00C62CF4"/>
    <w:rsid w:val="00C634FD"/>
    <w:rsid w:val="00C6413B"/>
    <w:rsid w:val="00C654B8"/>
    <w:rsid w:val="00C6771C"/>
    <w:rsid w:val="00C67F67"/>
    <w:rsid w:val="00C710B7"/>
    <w:rsid w:val="00C71E71"/>
    <w:rsid w:val="00C72376"/>
    <w:rsid w:val="00C751A6"/>
    <w:rsid w:val="00C7738E"/>
    <w:rsid w:val="00C779D9"/>
    <w:rsid w:val="00C77E7B"/>
    <w:rsid w:val="00C80114"/>
    <w:rsid w:val="00C80555"/>
    <w:rsid w:val="00C84B04"/>
    <w:rsid w:val="00C8604D"/>
    <w:rsid w:val="00C87F9E"/>
    <w:rsid w:val="00C90524"/>
    <w:rsid w:val="00C929A1"/>
    <w:rsid w:val="00C93FBA"/>
    <w:rsid w:val="00CA4E2D"/>
    <w:rsid w:val="00CB10A3"/>
    <w:rsid w:val="00CB19B9"/>
    <w:rsid w:val="00CB3399"/>
    <w:rsid w:val="00CB447D"/>
    <w:rsid w:val="00CB4EBF"/>
    <w:rsid w:val="00CB6477"/>
    <w:rsid w:val="00CB68C5"/>
    <w:rsid w:val="00CB776C"/>
    <w:rsid w:val="00CD0C67"/>
    <w:rsid w:val="00CD449E"/>
    <w:rsid w:val="00CD54C4"/>
    <w:rsid w:val="00CD5D2B"/>
    <w:rsid w:val="00CD69B7"/>
    <w:rsid w:val="00CD7DF7"/>
    <w:rsid w:val="00CE1DFF"/>
    <w:rsid w:val="00CE260B"/>
    <w:rsid w:val="00CE374B"/>
    <w:rsid w:val="00CE5855"/>
    <w:rsid w:val="00CF2897"/>
    <w:rsid w:val="00CF2BA5"/>
    <w:rsid w:val="00CF5864"/>
    <w:rsid w:val="00CF6467"/>
    <w:rsid w:val="00D01963"/>
    <w:rsid w:val="00D0347E"/>
    <w:rsid w:val="00D03BC3"/>
    <w:rsid w:val="00D0417A"/>
    <w:rsid w:val="00D06078"/>
    <w:rsid w:val="00D070AA"/>
    <w:rsid w:val="00D07511"/>
    <w:rsid w:val="00D12C15"/>
    <w:rsid w:val="00D12C1D"/>
    <w:rsid w:val="00D14C68"/>
    <w:rsid w:val="00D16294"/>
    <w:rsid w:val="00D17205"/>
    <w:rsid w:val="00D17226"/>
    <w:rsid w:val="00D23023"/>
    <w:rsid w:val="00D2574D"/>
    <w:rsid w:val="00D306A2"/>
    <w:rsid w:val="00D30A26"/>
    <w:rsid w:val="00D310C0"/>
    <w:rsid w:val="00D312B6"/>
    <w:rsid w:val="00D31451"/>
    <w:rsid w:val="00D36E0A"/>
    <w:rsid w:val="00D377A9"/>
    <w:rsid w:val="00D405F8"/>
    <w:rsid w:val="00D40D67"/>
    <w:rsid w:val="00D40F82"/>
    <w:rsid w:val="00D41DD1"/>
    <w:rsid w:val="00D43369"/>
    <w:rsid w:val="00D46A28"/>
    <w:rsid w:val="00D477AD"/>
    <w:rsid w:val="00D4792A"/>
    <w:rsid w:val="00D47F13"/>
    <w:rsid w:val="00D526F9"/>
    <w:rsid w:val="00D53276"/>
    <w:rsid w:val="00D55D8E"/>
    <w:rsid w:val="00D628EE"/>
    <w:rsid w:val="00D65BA3"/>
    <w:rsid w:val="00D676F5"/>
    <w:rsid w:val="00D67A3C"/>
    <w:rsid w:val="00D70000"/>
    <w:rsid w:val="00D709EF"/>
    <w:rsid w:val="00D70E11"/>
    <w:rsid w:val="00D729F2"/>
    <w:rsid w:val="00D759E1"/>
    <w:rsid w:val="00D82556"/>
    <w:rsid w:val="00D829B9"/>
    <w:rsid w:val="00D836A4"/>
    <w:rsid w:val="00D84717"/>
    <w:rsid w:val="00D85308"/>
    <w:rsid w:val="00D87152"/>
    <w:rsid w:val="00D8786F"/>
    <w:rsid w:val="00D91942"/>
    <w:rsid w:val="00DA008C"/>
    <w:rsid w:val="00DA1E37"/>
    <w:rsid w:val="00DA208A"/>
    <w:rsid w:val="00DA2328"/>
    <w:rsid w:val="00DA39C4"/>
    <w:rsid w:val="00DA78FF"/>
    <w:rsid w:val="00DB0576"/>
    <w:rsid w:val="00DB08D0"/>
    <w:rsid w:val="00DB29F3"/>
    <w:rsid w:val="00DB4AF3"/>
    <w:rsid w:val="00DC29B9"/>
    <w:rsid w:val="00DC5724"/>
    <w:rsid w:val="00DC727A"/>
    <w:rsid w:val="00DC75CA"/>
    <w:rsid w:val="00DC7640"/>
    <w:rsid w:val="00DC7BF7"/>
    <w:rsid w:val="00DD2E69"/>
    <w:rsid w:val="00DD4875"/>
    <w:rsid w:val="00DD5BE9"/>
    <w:rsid w:val="00DD6C31"/>
    <w:rsid w:val="00DE0266"/>
    <w:rsid w:val="00DE0F50"/>
    <w:rsid w:val="00DE1003"/>
    <w:rsid w:val="00DE309C"/>
    <w:rsid w:val="00DE6234"/>
    <w:rsid w:val="00DF0F00"/>
    <w:rsid w:val="00E00B3C"/>
    <w:rsid w:val="00E039F1"/>
    <w:rsid w:val="00E03B5D"/>
    <w:rsid w:val="00E0590E"/>
    <w:rsid w:val="00E06A33"/>
    <w:rsid w:val="00E16DC3"/>
    <w:rsid w:val="00E20490"/>
    <w:rsid w:val="00E20CB2"/>
    <w:rsid w:val="00E20E7C"/>
    <w:rsid w:val="00E23C4E"/>
    <w:rsid w:val="00E257A5"/>
    <w:rsid w:val="00E26B83"/>
    <w:rsid w:val="00E30875"/>
    <w:rsid w:val="00E30E29"/>
    <w:rsid w:val="00E34C88"/>
    <w:rsid w:val="00E34E7C"/>
    <w:rsid w:val="00E3522A"/>
    <w:rsid w:val="00E36A5A"/>
    <w:rsid w:val="00E36C59"/>
    <w:rsid w:val="00E412EC"/>
    <w:rsid w:val="00E41FFA"/>
    <w:rsid w:val="00E46037"/>
    <w:rsid w:val="00E47EC8"/>
    <w:rsid w:val="00E50716"/>
    <w:rsid w:val="00E57851"/>
    <w:rsid w:val="00E60A20"/>
    <w:rsid w:val="00E60ECF"/>
    <w:rsid w:val="00E62F18"/>
    <w:rsid w:val="00E641DF"/>
    <w:rsid w:val="00E65C46"/>
    <w:rsid w:val="00E716AF"/>
    <w:rsid w:val="00E7449E"/>
    <w:rsid w:val="00E74E83"/>
    <w:rsid w:val="00E80295"/>
    <w:rsid w:val="00E83690"/>
    <w:rsid w:val="00E860ED"/>
    <w:rsid w:val="00E86E82"/>
    <w:rsid w:val="00E86F7A"/>
    <w:rsid w:val="00E91CB7"/>
    <w:rsid w:val="00E92329"/>
    <w:rsid w:val="00E92C97"/>
    <w:rsid w:val="00E938A1"/>
    <w:rsid w:val="00E975FF"/>
    <w:rsid w:val="00EA0CB0"/>
    <w:rsid w:val="00EA337D"/>
    <w:rsid w:val="00EA477C"/>
    <w:rsid w:val="00EA7718"/>
    <w:rsid w:val="00EB10E9"/>
    <w:rsid w:val="00EB273A"/>
    <w:rsid w:val="00EB2A62"/>
    <w:rsid w:val="00EB2DCA"/>
    <w:rsid w:val="00EB2DE5"/>
    <w:rsid w:val="00EB34EB"/>
    <w:rsid w:val="00EB392D"/>
    <w:rsid w:val="00EC2082"/>
    <w:rsid w:val="00EC2EEE"/>
    <w:rsid w:val="00EC6D11"/>
    <w:rsid w:val="00EC75B3"/>
    <w:rsid w:val="00EC7FAB"/>
    <w:rsid w:val="00ED5144"/>
    <w:rsid w:val="00EE1C70"/>
    <w:rsid w:val="00EE3D51"/>
    <w:rsid w:val="00EE4191"/>
    <w:rsid w:val="00EE7D86"/>
    <w:rsid w:val="00EF1D0B"/>
    <w:rsid w:val="00EF22D4"/>
    <w:rsid w:val="00EF582A"/>
    <w:rsid w:val="00EF774C"/>
    <w:rsid w:val="00F06543"/>
    <w:rsid w:val="00F06582"/>
    <w:rsid w:val="00F10308"/>
    <w:rsid w:val="00F13AFE"/>
    <w:rsid w:val="00F13C3F"/>
    <w:rsid w:val="00F15AE6"/>
    <w:rsid w:val="00F17E1C"/>
    <w:rsid w:val="00F20CBF"/>
    <w:rsid w:val="00F20FAB"/>
    <w:rsid w:val="00F219C4"/>
    <w:rsid w:val="00F22CB0"/>
    <w:rsid w:val="00F23554"/>
    <w:rsid w:val="00F2370B"/>
    <w:rsid w:val="00F25C0E"/>
    <w:rsid w:val="00F25CEA"/>
    <w:rsid w:val="00F2712C"/>
    <w:rsid w:val="00F32196"/>
    <w:rsid w:val="00F34059"/>
    <w:rsid w:val="00F34370"/>
    <w:rsid w:val="00F350F4"/>
    <w:rsid w:val="00F37815"/>
    <w:rsid w:val="00F40FBD"/>
    <w:rsid w:val="00F41B60"/>
    <w:rsid w:val="00F4338F"/>
    <w:rsid w:val="00F45104"/>
    <w:rsid w:val="00F469DC"/>
    <w:rsid w:val="00F46B52"/>
    <w:rsid w:val="00F4731F"/>
    <w:rsid w:val="00F47572"/>
    <w:rsid w:val="00F50FF6"/>
    <w:rsid w:val="00F51146"/>
    <w:rsid w:val="00F51CB9"/>
    <w:rsid w:val="00F558CA"/>
    <w:rsid w:val="00F56C91"/>
    <w:rsid w:val="00F56DB1"/>
    <w:rsid w:val="00F57247"/>
    <w:rsid w:val="00F60DDE"/>
    <w:rsid w:val="00F6151C"/>
    <w:rsid w:val="00F62DC0"/>
    <w:rsid w:val="00F6411D"/>
    <w:rsid w:val="00F672D7"/>
    <w:rsid w:val="00F70781"/>
    <w:rsid w:val="00F71D6E"/>
    <w:rsid w:val="00F736EC"/>
    <w:rsid w:val="00F742B1"/>
    <w:rsid w:val="00F74903"/>
    <w:rsid w:val="00F74AC6"/>
    <w:rsid w:val="00F82607"/>
    <w:rsid w:val="00F83F8B"/>
    <w:rsid w:val="00F841E6"/>
    <w:rsid w:val="00F84260"/>
    <w:rsid w:val="00F84498"/>
    <w:rsid w:val="00F86936"/>
    <w:rsid w:val="00F873C9"/>
    <w:rsid w:val="00F87F4B"/>
    <w:rsid w:val="00F9243A"/>
    <w:rsid w:val="00F93390"/>
    <w:rsid w:val="00F93CA2"/>
    <w:rsid w:val="00F95EBD"/>
    <w:rsid w:val="00F968EF"/>
    <w:rsid w:val="00F97D8A"/>
    <w:rsid w:val="00FA0068"/>
    <w:rsid w:val="00FA038B"/>
    <w:rsid w:val="00FA04AE"/>
    <w:rsid w:val="00FA100F"/>
    <w:rsid w:val="00FA25F0"/>
    <w:rsid w:val="00FA33D0"/>
    <w:rsid w:val="00FA3DC8"/>
    <w:rsid w:val="00FA4A7D"/>
    <w:rsid w:val="00FA7B9B"/>
    <w:rsid w:val="00FB1181"/>
    <w:rsid w:val="00FB1FEF"/>
    <w:rsid w:val="00FB2C18"/>
    <w:rsid w:val="00FB34AF"/>
    <w:rsid w:val="00FB3F40"/>
    <w:rsid w:val="00FB751F"/>
    <w:rsid w:val="00FB76A8"/>
    <w:rsid w:val="00FB785D"/>
    <w:rsid w:val="00FC0B2D"/>
    <w:rsid w:val="00FC18B2"/>
    <w:rsid w:val="00FC21D7"/>
    <w:rsid w:val="00FC37AD"/>
    <w:rsid w:val="00FC3883"/>
    <w:rsid w:val="00FC3D97"/>
    <w:rsid w:val="00FC6E24"/>
    <w:rsid w:val="00FC7B4B"/>
    <w:rsid w:val="00FD397A"/>
    <w:rsid w:val="00FD4567"/>
    <w:rsid w:val="00FD5093"/>
    <w:rsid w:val="00FD524B"/>
    <w:rsid w:val="00FD58DD"/>
    <w:rsid w:val="00FD771E"/>
    <w:rsid w:val="00FE2379"/>
    <w:rsid w:val="00FE4F8D"/>
    <w:rsid w:val="00FE543A"/>
    <w:rsid w:val="00FE5773"/>
    <w:rsid w:val="00FE6291"/>
    <w:rsid w:val="00FF0453"/>
    <w:rsid w:val="00FF58FE"/>
    <w:rsid w:val="00FF7C29"/>
    <w:rsid w:val="00FF7C75"/>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78342"/>
  <w15:docId w15:val="{C5F6C1C4-156F-4F33-8DA7-BB65EEE7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D0A"/>
    <w:rPr>
      <w:rFonts w:ascii="Times New Roman" w:hAnsi="Times New Roman"/>
    </w:rPr>
  </w:style>
  <w:style w:type="paragraph" w:styleId="Heading1">
    <w:name w:val="heading 1"/>
    <w:basedOn w:val="Normal"/>
    <w:next w:val="Normal"/>
    <w:link w:val="Heading1Char"/>
    <w:uiPriority w:val="9"/>
    <w:qFormat/>
    <w:rsid w:val="00F97D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660F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95EB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F549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F549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alConsidrant">
    <w:name w:val="Manual Considérant"/>
    <w:basedOn w:val="Normal"/>
    <w:rsid w:val="00CF5864"/>
    <w:pPr>
      <w:spacing w:before="120" w:after="120" w:line="240" w:lineRule="auto"/>
      <w:ind w:left="709" w:hanging="709"/>
      <w:jc w:val="both"/>
    </w:pPr>
    <w:rPr>
      <w:rFonts w:eastAsia="Calibri" w:cs="Times New Roman"/>
      <w:sz w:val="24"/>
      <w:szCs w:val="20"/>
      <w:lang w:eastAsia="en-GB"/>
    </w:rPr>
  </w:style>
  <w:style w:type="paragraph" w:styleId="ListParagraph">
    <w:name w:val="List Paragraph"/>
    <w:aliases w:val="Felsorolás_pont,Felsorolás_pont 1,Listaszerű bekezdés1,Fiche List Paragraph"/>
    <w:basedOn w:val="Normal"/>
    <w:link w:val="ListParagraphChar"/>
    <w:uiPriority w:val="34"/>
    <w:qFormat/>
    <w:rsid w:val="00CF5864"/>
    <w:pPr>
      <w:ind w:left="720"/>
      <w:contextualSpacing/>
    </w:pPr>
  </w:style>
  <w:style w:type="paragraph" w:styleId="Header">
    <w:name w:val="header"/>
    <w:basedOn w:val="Normal"/>
    <w:link w:val="HeaderChar"/>
    <w:unhideWhenUsed/>
    <w:rsid w:val="00CF5864"/>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5864"/>
  </w:style>
  <w:style w:type="paragraph" w:styleId="Footer">
    <w:name w:val="footer"/>
    <w:basedOn w:val="Normal"/>
    <w:link w:val="FooterChar"/>
    <w:uiPriority w:val="99"/>
    <w:unhideWhenUsed/>
    <w:qFormat/>
    <w:rsid w:val="00CF5864"/>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5864"/>
  </w:style>
  <w:style w:type="character" w:customStyle="1" w:styleId="ListParagraphChar">
    <w:name w:val="List Paragraph Char"/>
    <w:aliases w:val="Felsorolás_pont Char,Felsorolás_pont 1 Char,Listaszerű bekezdés1 Char,Fiche List Paragraph Char"/>
    <w:basedOn w:val="DefaultParagraphFont"/>
    <w:link w:val="ListParagraph"/>
    <w:uiPriority w:val="34"/>
    <w:rsid w:val="00CF5864"/>
  </w:style>
  <w:style w:type="character" w:styleId="CommentReference">
    <w:name w:val="annotation reference"/>
    <w:basedOn w:val="DefaultParagraphFont"/>
    <w:uiPriority w:val="99"/>
    <w:unhideWhenUsed/>
    <w:rsid w:val="00CF5864"/>
    <w:rPr>
      <w:sz w:val="16"/>
      <w:szCs w:val="16"/>
    </w:rPr>
  </w:style>
  <w:style w:type="paragraph" w:styleId="CommentText">
    <w:name w:val="annotation text"/>
    <w:basedOn w:val="Normal"/>
    <w:link w:val="CommentTextChar"/>
    <w:uiPriority w:val="99"/>
    <w:unhideWhenUsed/>
    <w:rsid w:val="00CF5864"/>
    <w:pPr>
      <w:spacing w:line="240" w:lineRule="auto"/>
    </w:pPr>
    <w:rPr>
      <w:sz w:val="20"/>
      <w:szCs w:val="20"/>
    </w:rPr>
  </w:style>
  <w:style w:type="character" w:customStyle="1" w:styleId="CommentTextChar">
    <w:name w:val="Comment Text Char"/>
    <w:basedOn w:val="DefaultParagraphFont"/>
    <w:link w:val="CommentText"/>
    <w:uiPriority w:val="99"/>
    <w:rsid w:val="00CF5864"/>
    <w:rPr>
      <w:sz w:val="20"/>
      <w:szCs w:val="20"/>
    </w:rPr>
  </w:style>
  <w:style w:type="paragraph" w:styleId="CommentSubject">
    <w:name w:val="annotation subject"/>
    <w:basedOn w:val="CommentText"/>
    <w:next w:val="CommentText"/>
    <w:link w:val="CommentSubjectChar"/>
    <w:uiPriority w:val="99"/>
    <w:semiHidden/>
    <w:unhideWhenUsed/>
    <w:rsid w:val="00CF5864"/>
    <w:rPr>
      <w:b/>
      <w:bCs/>
    </w:rPr>
  </w:style>
  <w:style w:type="character" w:customStyle="1" w:styleId="CommentSubjectChar">
    <w:name w:val="Comment Subject Char"/>
    <w:basedOn w:val="CommentTextChar"/>
    <w:link w:val="CommentSubject"/>
    <w:uiPriority w:val="99"/>
    <w:semiHidden/>
    <w:rsid w:val="00CF5864"/>
    <w:rPr>
      <w:b/>
      <w:bCs/>
      <w:sz w:val="20"/>
      <w:szCs w:val="20"/>
    </w:rPr>
  </w:style>
  <w:style w:type="paragraph" w:styleId="BalloonText">
    <w:name w:val="Balloon Text"/>
    <w:basedOn w:val="Normal"/>
    <w:link w:val="BalloonTextChar"/>
    <w:uiPriority w:val="99"/>
    <w:semiHidden/>
    <w:unhideWhenUsed/>
    <w:rsid w:val="00CF58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864"/>
    <w:rPr>
      <w:rFonts w:ascii="Tahoma" w:hAnsi="Tahoma" w:cs="Tahoma"/>
      <w:sz w:val="16"/>
      <w:szCs w:val="16"/>
    </w:rPr>
  </w:style>
  <w:style w:type="paragraph" w:styleId="Revision">
    <w:name w:val="Revision"/>
    <w:hidden/>
    <w:uiPriority w:val="99"/>
    <w:semiHidden/>
    <w:rsid w:val="00CF5864"/>
    <w:pPr>
      <w:spacing w:after="0" w:line="240" w:lineRule="auto"/>
    </w:p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
    <w:basedOn w:val="Normal"/>
    <w:link w:val="FootnoteTextChar"/>
    <w:uiPriority w:val="99"/>
    <w:unhideWhenUsed/>
    <w:qFormat/>
    <w:rsid w:val="00CF5864"/>
    <w:pPr>
      <w:spacing w:after="0" w:line="240" w:lineRule="auto"/>
    </w:pPr>
    <w:rPr>
      <w:sz w:val="20"/>
      <w:szCs w:val="20"/>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uiPriority w:val="99"/>
    <w:qFormat/>
    <w:rsid w:val="00CF5864"/>
    <w:rPr>
      <w:sz w:val="20"/>
      <w:szCs w:val="20"/>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numb"/>
    <w:basedOn w:val="DefaultParagraphFont"/>
    <w:link w:val="BVIfnrZnak"/>
    <w:uiPriority w:val="99"/>
    <w:unhideWhenUsed/>
    <w:qFormat/>
    <w:rsid w:val="00CF5864"/>
    <w:rPr>
      <w:vertAlign w:val="superscript"/>
    </w:rPr>
  </w:style>
  <w:style w:type="table" w:styleId="TableGrid">
    <w:name w:val="Table Grid"/>
    <w:basedOn w:val="TableNormal"/>
    <w:uiPriority w:val="39"/>
    <w:rsid w:val="00CF5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F5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Char">
    <w:name w:val="Text 1 Char"/>
    <w:link w:val="Text1"/>
    <w:locked/>
    <w:rsid w:val="00CF5864"/>
    <w:rPr>
      <w:rFonts w:ascii="Times New Roman" w:hAnsi="Times New Roman"/>
      <w:sz w:val="24"/>
    </w:rPr>
  </w:style>
  <w:style w:type="paragraph" w:customStyle="1" w:styleId="Text1">
    <w:name w:val="Text 1"/>
    <w:basedOn w:val="Normal"/>
    <w:link w:val="Text1Char"/>
    <w:rsid w:val="00CF5864"/>
    <w:pPr>
      <w:spacing w:before="120" w:after="120" w:line="240" w:lineRule="auto"/>
      <w:ind w:left="850"/>
      <w:jc w:val="both"/>
    </w:pPr>
    <w:rPr>
      <w:sz w:val="24"/>
    </w:rPr>
  </w:style>
  <w:style w:type="paragraph" w:customStyle="1" w:styleId="NumPar1">
    <w:name w:val="NumPar 1"/>
    <w:basedOn w:val="Normal"/>
    <w:next w:val="Normal"/>
    <w:rsid w:val="00CF5864"/>
    <w:pPr>
      <w:spacing w:before="120" w:after="120" w:line="240" w:lineRule="auto"/>
      <w:ind w:left="850"/>
      <w:jc w:val="both"/>
    </w:pPr>
    <w:rPr>
      <w:rFonts w:cs="Times New Roman"/>
      <w:sz w:val="24"/>
      <w:lang w:eastAsia="en-GB"/>
    </w:rPr>
  </w:style>
  <w:style w:type="paragraph" w:customStyle="1" w:styleId="Point0number">
    <w:name w:val="Point 0 (number)"/>
    <w:basedOn w:val="Normal"/>
    <w:rsid w:val="00CF5864"/>
    <w:pPr>
      <w:numPr>
        <w:numId w:val="3"/>
      </w:numPr>
      <w:spacing w:before="120" w:after="120" w:line="240" w:lineRule="auto"/>
      <w:jc w:val="both"/>
    </w:pPr>
    <w:rPr>
      <w:rFonts w:cs="Times New Roman"/>
      <w:sz w:val="24"/>
    </w:rPr>
  </w:style>
  <w:style w:type="paragraph" w:customStyle="1" w:styleId="Point1number">
    <w:name w:val="Point 1 (number)"/>
    <w:basedOn w:val="Normal"/>
    <w:rsid w:val="00CF5864"/>
    <w:pPr>
      <w:numPr>
        <w:ilvl w:val="2"/>
        <w:numId w:val="3"/>
      </w:numPr>
      <w:spacing w:before="120" w:after="120" w:line="240" w:lineRule="auto"/>
      <w:jc w:val="both"/>
    </w:pPr>
    <w:rPr>
      <w:rFonts w:cs="Times New Roman"/>
      <w:sz w:val="24"/>
    </w:rPr>
  </w:style>
  <w:style w:type="paragraph" w:customStyle="1" w:styleId="Point2number">
    <w:name w:val="Point 2 (number)"/>
    <w:basedOn w:val="Normal"/>
    <w:rsid w:val="00CF5864"/>
    <w:pPr>
      <w:numPr>
        <w:ilvl w:val="4"/>
        <w:numId w:val="3"/>
      </w:numPr>
      <w:spacing w:before="120" w:after="120" w:line="240" w:lineRule="auto"/>
      <w:jc w:val="both"/>
    </w:pPr>
    <w:rPr>
      <w:rFonts w:cs="Times New Roman"/>
      <w:sz w:val="24"/>
    </w:rPr>
  </w:style>
  <w:style w:type="paragraph" w:customStyle="1" w:styleId="Point3number">
    <w:name w:val="Point 3 (number)"/>
    <w:basedOn w:val="Normal"/>
    <w:rsid w:val="00CF5864"/>
    <w:pPr>
      <w:numPr>
        <w:ilvl w:val="6"/>
        <w:numId w:val="3"/>
      </w:numPr>
      <w:spacing w:before="120" w:after="120" w:line="240" w:lineRule="auto"/>
      <w:jc w:val="both"/>
    </w:pPr>
    <w:rPr>
      <w:rFonts w:cs="Times New Roman"/>
      <w:sz w:val="24"/>
    </w:rPr>
  </w:style>
  <w:style w:type="paragraph" w:customStyle="1" w:styleId="Point0letter">
    <w:name w:val="Point 0 (letter)"/>
    <w:basedOn w:val="Normal"/>
    <w:rsid w:val="00CF5864"/>
    <w:pPr>
      <w:numPr>
        <w:ilvl w:val="1"/>
        <w:numId w:val="3"/>
      </w:numPr>
      <w:spacing w:before="120" w:after="120" w:line="240" w:lineRule="auto"/>
      <w:jc w:val="both"/>
    </w:pPr>
    <w:rPr>
      <w:rFonts w:cs="Times New Roman"/>
      <w:sz w:val="24"/>
    </w:rPr>
  </w:style>
  <w:style w:type="paragraph" w:customStyle="1" w:styleId="Point1letter">
    <w:name w:val="Point 1 (letter)"/>
    <w:basedOn w:val="Normal"/>
    <w:rsid w:val="00CF5864"/>
    <w:pPr>
      <w:numPr>
        <w:ilvl w:val="3"/>
        <w:numId w:val="3"/>
      </w:numPr>
      <w:spacing w:before="120" w:after="120" w:line="240" w:lineRule="auto"/>
      <w:jc w:val="both"/>
    </w:pPr>
    <w:rPr>
      <w:rFonts w:cs="Times New Roman"/>
      <w:sz w:val="24"/>
    </w:rPr>
  </w:style>
  <w:style w:type="paragraph" w:customStyle="1" w:styleId="Point3letter">
    <w:name w:val="Point 3 (letter)"/>
    <w:basedOn w:val="Normal"/>
    <w:rsid w:val="00CF5864"/>
    <w:pPr>
      <w:numPr>
        <w:ilvl w:val="7"/>
        <w:numId w:val="3"/>
      </w:numPr>
      <w:spacing w:before="120" w:after="120" w:line="240" w:lineRule="auto"/>
      <w:jc w:val="both"/>
    </w:pPr>
    <w:rPr>
      <w:rFonts w:cs="Times New Roman"/>
      <w:sz w:val="24"/>
    </w:rPr>
  </w:style>
  <w:style w:type="paragraph" w:customStyle="1" w:styleId="Point4letter">
    <w:name w:val="Point 4 (letter)"/>
    <w:basedOn w:val="Normal"/>
    <w:rsid w:val="00CF5864"/>
    <w:pPr>
      <w:numPr>
        <w:ilvl w:val="8"/>
        <w:numId w:val="3"/>
      </w:numPr>
      <w:spacing w:before="120" w:after="120" w:line="240" w:lineRule="auto"/>
      <w:jc w:val="both"/>
    </w:pPr>
    <w:rPr>
      <w:rFonts w:cs="Times New Roman"/>
      <w:sz w:val="24"/>
    </w:rPr>
  </w:style>
  <w:style w:type="paragraph" w:customStyle="1" w:styleId="HeaderLandscape">
    <w:name w:val="HeaderLandscape"/>
    <w:basedOn w:val="Normal"/>
    <w:rsid w:val="00CF5864"/>
    <w:pPr>
      <w:tabs>
        <w:tab w:val="center" w:pos="7285"/>
        <w:tab w:val="right" w:pos="14003"/>
      </w:tabs>
      <w:spacing w:after="120" w:line="240" w:lineRule="auto"/>
      <w:jc w:val="both"/>
    </w:pPr>
    <w:rPr>
      <w:rFonts w:cs="Times New Roman"/>
      <w:sz w:val="24"/>
    </w:rPr>
  </w:style>
  <w:style w:type="character" w:styleId="PageNumber">
    <w:name w:val="page number"/>
    <w:rsid w:val="00CF5864"/>
  </w:style>
  <w:style w:type="paragraph" w:styleId="Title">
    <w:name w:val="Title"/>
    <w:basedOn w:val="Normal"/>
    <w:link w:val="TitleChar"/>
    <w:qFormat/>
    <w:rsid w:val="00CF5864"/>
    <w:pPr>
      <w:spacing w:before="240" w:after="60" w:line="240" w:lineRule="auto"/>
      <w:jc w:val="center"/>
      <w:outlineLvl w:val="0"/>
    </w:pPr>
    <w:rPr>
      <w:rFonts w:ascii="Arial" w:eastAsia="Times New Roman" w:hAnsi="Arial" w:cs="Times New Roman"/>
      <w:b/>
      <w:kern w:val="28"/>
      <w:sz w:val="32"/>
      <w:lang w:eastAsia="en-GB"/>
    </w:rPr>
  </w:style>
  <w:style w:type="character" w:customStyle="1" w:styleId="TitleChar">
    <w:name w:val="Title Char"/>
    <w:basedOn w:val="DefaultParagraphFont"/>
    <w:link w:val="Title"/>
    <w:rsid w:val="00CF5864"/>
    <w:rPr>
      <w:rFonts w:ascii="Arial" w:eastAsia="Times New Roman" w:hAnsi="Arial" w:cs="Times New Roman"/>
      <w:b/>
      <w:kern w:val="28"/>
      <w:sz w:val="32"/>
      <w:lang w:eastAsia="en-GB"/>
    </w:rPr>
  </w:style>
  <w:style w:type="character" w:styleId="Hyperlink">
    <w:name w:val="Hyperlink"/>
    <w:uiPriority w:val="99"/>
    <w:unhideWhenUsed/>
    <w:rsid w:val="00CF5864"/>
    <w:rPr>
      <w:color w:val="0000FF"/>
      <w:u w:val="single"/>
    </w:rPr>
  </w:style>
  <w:style w:type="paragraph" w:customStyle="1" w:styleId="Text3">
    <w:name w:val="Text 3"/>
    <w:basedOn w:val="Normal"/>
    <w:rsid w:val="00CF5864"/>
    <w:pPr>
      <w:spacing w:before="120" w:after="120" w:line="240" w:lineRule="auto"/>
      <w:ind w:left="1984"/>
      <w:jc w:val="both"/>
    </w:pPr>
    <w:rPr>
      <w:rFonts w:eastAsia="Calibri" w:cs="Times New Roman"/>
      <w:sz w:val="24"/>
      <w:lang w:eastAsia="en-GB"/>
    </w:rPr>
  </w:style>
  <w:style w:type="character" w:customStyle="1" w:styleId="Marker">
    <w:name w:val="Marker"/>
    <w:basedOn w:val="DefaultParagraphFont"/>
    <w:rsid w:val="00CF5864"/>
    <w:rPr>
      <w:color w:val="0000FF"/>
      <w:shd w:val="clear" w:color="auto" w:fill="auto"/>
    </w:rPr>
  </w:style>
  <w:style w:type="paragraph" w:customStyle="1" w:styleId="Pagedecouverture">
    <w:name w:val="Page de couverture"/>
    <w:basedOn w:val="Normal"/>
    <w:next w:val="Normal"/>
    <w:rsid w:val="00CF5864"/>
    <w:pPr>
      <w:spacing w:after="0" w:line="240" w:lineRule="auto"/>
      <w:jc w:val="both"/>
    </w:pPr>
    <w:rPr>
      <w:rFonts w:cs="Times New Roman"/>
      <w:sz w:val="24"/>
    </w:rPr>
  </w:style>
  <w:style w:type="paragraph" w:customStyle="1" w:styleId="FooterCoverPage">
    <w:name w:val="Footer Cover Page"/>
    <w:basedOn w:val="Normal"/>
    <w:link w:val="FooterCoverPageChar"/>
    <w:rsid w:val="00CF5864"/>
    <w:pPr>
      <w:tabs>
        <w:tab w:val="center" w:pos="4535"/>
        <w:tab w:val="right" w:pos="9071"/>
        <w:tab w:val="right" w:pos="9921"/>
      </w:tabs>
      <w:spacing w:before="360" w:after="0" w:line="240" w:lineRule="auto"/>
      <w:ind w:left="-850" w:right="-850"/>
    </w:pPr>
    <w:rPr>
      <w:rFonts w:cs="Times New Roman"/>
      <w:sz w:val="24"/>
    </w:rPr>
  </w:style>
  <w:style w:type="character" w:customStyle="1" w:styleId="FooterCoverPageChar">
    <w:name w:val="Footer Cover Page Char"/>
    <w:basedOn w:val="DefaultParagraphFont"/>
    <w:link w:val="FooterCoverPage"/>
    <w:rsid w:val="00CF5864"/>
    <w:rPr>
      <w:rFonts w:ascii="Times New Roman" w:hAnsi="Times New Roman" w:cs="Times New Roman"/>
      <w:sz w:val="24"/>
    </w:rPr>
  </w:style>
  <w:style w:type="paragraph" w:customStyle="1" w:styleId="FooterSensitivity">
    <w:name w:val="Footer Sensitivity"/>
    <w:basedOn w:val="Normal"/>
    <w:link w:val="FooterSensitivityChar"/>
    <w:rsid w:val="00CF5864"/>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cs="Times New Roman"/>
      <w:b/>
      <w:sz w:val="32"/>
    </w:rPr>
  </w:style>
  <w:style w:type="character" w:customStyle="1" w:styleId="FooterSensitivityChar">
    <w:name w:val="Footer Sensitivity Char"/>
    <w:basedOn w:val="DefaultParagraphFont"/>
    <w:link w:val="FooterSensitivity"/>
    <w:rsid w:val="00CF5864"/>
    <w:rPr>
      <w:rFonts w:ascii="Times New Roman" w:hAnsi="Times New Roman" w:cs="Times New Roman"/>
      <w:b/>
      <w:sz w:val="32"/>
    </w:rPr>
  </w:style>
  <w:style w:type="paragraph" w:customStyle="1" w:styleId="HeaderCoverPage">
    <w:name w:val="Header Cover Page"/>
    <w:basedOn w:val="Normal"/>
    <w:link w:val="HeaderCoverPageChar"/>
    <w:rsid w:val="00CF5864"/>
    <w:pPr>
      <w:tabs>
        <w:tab w:val="center" w:pos="4535"/>
        <w:tab w:val="right" w:pos="9071"/>
      </w:tabs>
      <w:spacing w:after="120" w:line="240" w:lineRule="auto"/>
      <w:jc w:val="both"/>
    </w:pPr>
    <w:rPr>
      <w:rFonts w:cs="Times New Roman"/>
      <w:sz w:val="24"/>
    </w:rPr>
  </w:style>
  <w:style w:type="character" w:customStyle="1" w:styleId="HeaderCoverPageChar">
    <w:name w:val="Header Cover Page Char"/>
    <w:basedOn w:val="DefaultParagraphFont"/>
    <w:link w:val="HeaderCoverPage"/>
    <w:rsid w:val="00CF5864"/>
    <w:rPr>
      <w:rFonts w:ascii="Times New Roman" w:hAnsi="Times New Roman" w:cs="Times New Roman"/>
      <w:sz w:val="24"/>
    </w:rPr>
  </w:style>
  <w:style w:type="paragraph" w:customStyle="1" w:styleId="HeaderSensitivity">
    <w:name w:val="Header Sensitivity"/>
    <w:basedOn w:val="Normal"/>
    <w:link w:val="HeaderSensitivityChar"/>
    <w:rsid w:val="00CF5864"/>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cs="Times New Roman"/>
      <w:b/>
      <w:sz w:val="32"/>
    </w:rPr>
  </w:style>
  <w:style w:type="character" w:customStyle="1" w:styleId="HeaderSensitivityChar">
    <w:name w:val="Header Sensitivity Char"/>
    <w:basedOn w:val="DefaultParagraphFont"/>
    <w:link w:val="HeaderSensitivity"/>
    <w:rsid w:val="00CF5864"/>
    <w:rPr>
      <w:rFonts w:ascii="Times New Roman" w:hAnsi="Times New Roman" w:cs="Times New Roman"/>
      <w:b/>
      <w:sz w:val="32"/>
    </w:rPr>
  </w:style>
  <w:style w:type="paragraph" w:customStyle="1" w:styleId="Default">
    <w:name w:val="Default"/>
    <w:basedOn w:val="Normal"/>
    <w:rsid w:val="0089520A"/>
    <w:pPr>
      <w:autoSpaceDE w:val="0"/>
      <w:autoSpaceDN w:val="0"/>
      <w:spacing w:after="0" w:line="240" w:lineRule="auto"/>
    </w:pPr>
    <w:rPr>
      <w:rFonts w:cs="Times New Roman"/>
      <w:color w:val="000000"/>
      <w:sz w:val="24"/>
      <w:szCs w:val="24"/>
      <w:lang w:val="hu-HU" w:eastAsia="hu-HU"/>
    </w:rPr>
  </w:style>
  <w:style w:type="paragraph" w:customStyle="1" w:styleId="Normal1">
    <w:name w:val="Normal1"/>
    <w:basedOn w:val="Normal"/>
    <w:rsid w:val="00D12C1D"/>
    <w:pPr>
      <w:spacing w:before="100" w:beforeAutospacing="1" w:after="100" w:afterAutospacing="1" w:line="240" w:lineRule="auto"/>
    </w:pPr>
    <w:rPr>
      <w:rFonts w:eastAsia="Times New Roman" w:cs="Times New Roman"/>
      <w:sz w:val="24"/>
      <w:szCs w:val="24"/>
      <w:lang w:val="hu-HU" w:eastAsia="hu-HU"/>
    </w:rPr>
  </w:style>
  <w:style w:type="paragraph" w:customStyle="1" w:styleId="SorkznlklCESCI2020">
    <w:name w:val="Sorköz nélkül (CESCI2020)"/>
    <w:basedOn w:val="Normal"/>
    <w:link w:val="SorkznlklCESCI2020Char"/>
    <w:qFormat/>
    <w:rsid w:val="003439F1"/>
    <w:pPr>
      <w:keepLines/>
      <w:spacing w:after="0" w:line="240" w:lineRule="auto"/>
    </w:pPr>
    <w:rPr>
      <w:rFonts w:asciiTheme="minorHAnsi" w:hAnsiTheme="minorHAnsi" w:cstheme="minorHAnsi"/>
      <w:sz w:val="20"/>
      <w:lang w:eastAsia="hu-HU"/>
    </w:rPr>
  </w:style>
  <w:style w:type="character" w:customStyle="1" w:styleId="SorkznlklCESCI2020Char">
    <w:name w:val="Sorköz nélkül (CESCI2020) Char"/>
    <w:basedOn w:val="DefaultParagraphFont"/>
    <w:link w:val="SorkznlklCESCI2020"/>
    <w:rsid w:val="003439F1"/>
    <w:rPr>
      <w:rFonts w:cstheme="minorHAnsi"/>
      <w:sz w:val="20"/>
      <w:lang w:eastAsia="hu-HU"/>
    </w:rPr>
  </w:style>
  <w:style w:type="paragraph" w:styleId="Caption">
    <w:name w:val="caption"/>
    <w:aliases w:val="Táblázat felirat"/>
    <w:basedOn w:val="Normal"/>
    <w:next w:val="Normal"/>
    <w:uiPriority w:val="35"/>
    <w:unhideWhenUsed/>
    <w:qFormat/>
    <w:rsid w:val="003439F1"/>
    <w:pPr>
      <w:keepNext/>
      <w:spacing w:before="240" w:after="120" w:line="240" w:lineRule="auto"/>
      <w:jc w:val="center"/>
    </w:pPr>
    <w:rPr>
      <w:rFonts w:asciiTheme="minorHAnsi" w:hAnsiTheme="minorHAnsi" w:cstheme="minorHAnsi"/>
      <w:i/>
      <w:iCs/>
      <w:color w:val="7F7F7F" w:themeColor="text1" w:themeTint="80"/>
      <w:sz w:val="20"/>
      <w:szCs w:val="18"/>
      <w:lang w:eastAsia="hu-HU"/>
    </w:rPr>
  </w:style>
  <w:style w:type="table" w:customStyle="1" w:styleId="CESCI2020Szurke">
    <w:name w:val="CESCI_2020_Szurke"/>
    <w:basedOn w:val="TableNormal"/>
    <w:uiPriority w:val="99"/>
    <w:rsid w:val="003439F1"/>
    <w:pPr>
      <w:spacing w:after="0" w:line="240" w:lineRule="auto"/>
    </w:pPr>
    <w:rPr>
      <w:rFonts w:cstheme="minorHAnsi"/>
      <w:lang w:val="hu-HU" w:eastAsia="hu-H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bottom w:w="57" w:type="dxa"/>
      </w:tblCellMar>
    </w:tblPr>
    <w:tcPr>
      <w:vAlign w:val="center"/>
    </w:tcPr>
    <w:tblStylePr w:type="firstRow">
      <w:rPr>
        <w:b/>
      </w:rPr>
      <w:tblPr/>
      <w:trPr>
        <w:cantSplit/>
        <w:tblHeader/>
      </w:trPr>
      <w:tcPr>
        <w:shd w:val="clear" w:color="auto" w:fill="D9D9D9" w:themeFill="background1" w:themeFillShade="D9"/>
      </w:tcPr>
    </w:tblStylePr>
    <w:tblStylePr w:type="lastRow">
      <w:rPr>
        <w:b/>
      </w:rPr>
      <w:tblPr/>
      <w:tcPr>
        <w:shd w:val="clear" w:color="auto" w:fill="D9D9D9" w:themeFill="background1" w:themeFillShade="D9"/>
      </w:tcPr>
    </w:tblStylePr>
    <w:tblStylePr w:type="firstCol">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character" w:styleId="LineNumber">
    <w:name w:val="line number"/>
    <w:basedOn w:val="DefaultParagraphFont"/>
    <w:uiPriority w:val="99"/>
    <w:unhideWhenUsed/>
    <w:rsid w:val="003439F1"/>
  </w:style>
  <w:style w:type="paragraph" w:customStyle="1" w:styleId="Cmsor50">
    <w:name w:val="Címsor 50"/>
    <w:basedOn w:val="Heading5"/>
    <w:next w:val="Normal"/>
    <w:link w:val="Cmsor50Char"/>
    <w:qFormat/>
    <w:rsid w:val="003F549D"/>
    <w:pPr>
      <w:spacing w:before="360" w:after="120" w:line="240" w:lineRule="auto"/>
    </w:pPr>
    <w:rPr>
      <w:rFonts w:cstheme="minorHAnsi"/>
      <w:color w:val="4F81BD" w:themeColor="accent1"/>
      <w:sz w:val="24"/>
      <w:lang w:eastAsia="hu-HU"/>
    </w:rPr>
  </w:style>
  <w:style w:type="character" w:customStyle="1" w:styleId="Cmsor50Char">
    <w:name w:val="Címsor 50 Char"/>
    <w:basedOn w:val="Heading5Char"/>
    <w:link w:val="Cmsor50"/>
    <w:rsid w:val="003F549D"/>
    <w:rPr>
      <w:rFonts w:asciiTheme="majorHAnsi" w:eastAsiaTheme="majorEastAsia" w:hAnsiTheme="majorHAnsi" w:cstheme="minorHAnsi"/>
      <w:color w:val="4F81BD" w:themeColor="accent1"/>
      <w:sz w:val="24"/>
      <w:lang w:eastAsia="hu-HU"/>
    </w:rPr>
  </w:style>
  <w:style w:type="character" w:customStyle="1" w:styleId="Heading5Char">
    <w:name w:val="Heading 5 Char"/>
    <w:basedOn w:val="DefaultParagraphFont"/>
    <w:link w:val="Heading5"/>
    <w:uiPriority w:val="9"/>
    <w:semiHidden/>
    <w:rsid w:val="003F549D"/>
    <w:rPr>
      <w:rFonts w:asciiTheme="majorHAnsi" w:eastAsiaTheme="majorEastAsia" w:hAnsiTheme="majorHAnsi" w:cstheme="majorBidi"/>
      <w:color w:val="365F91" w:themeColor="accent1" w:themeShade="BF"/>
    </w:rPr>
  </w:style>
  <w:style w:type="paragraph" w:customStyle="1" w:styleId="Cmsor40">
    <w:name w:val="Címsor 40"/>
    <w:basedOn w:val="Heading4"/>
    <w:next w:val="Normal"/>
    <w:link w:val="Cmsor40Char"/>
    <w:qFormat/>
    <w:rsid w:val="003F549D"/>
    <w:pPr>
      <w:spacing w:before="480" w:after="240" w:line="240" w:lineRule="auto"/>
    </w:pPr>
    <w:rPr>
      <w:rFonts w:cstheme="minorHAnsi"/>
      <w:b/>
      <w:i w:val="0"/>
      <w:iCs w:val="0"/>
      <w:color w:val="4F81BD" w:themeColor="accent1"/>
      <w:sz w:val="24"/>
      <w:lang w:eastAsia="hu-HU"/>
    </w:rPr>
  </w:style>
  <w:style w:type="character" w:customStyle="1" w:styleId="Cmsor40Char">
    <w:name w:val="Címsor 40 Char"/>
    <w:basedOn w:val="Heading4Char"/>
    <w:link w:val="Cmsor40"/>
    <w:rsid w:val="003F549D"/>
    <w:rPr>
      <w:rFonts w:asciiTheme="majorHAnsi" w:eastAsiaTheme="majorEastAsia" w:hAnsiTheme="majorHAnsi" w:cstheme="minorHAnsi"/>
      <w:b/>
      <w:i w:val="0"/>
      <w:iCs w:val="0"/>
      <w:color w:val="4F81BD" w:themeColor="accent1"/>
      <w:sz w:val="24"/>
      <w:lang w:eastAsia="hu-HU"/>
    </w:rPr>
  </w:style>
  <w:style w:type="character" w:customStyle="1" w:styleId="Heading4Char">
    <w:name w:val="Heading 4 Char"/>
    <w:basedOn w:val="DefaultParagraphFont"/>
    <w:link w:val="Heading4"/>
    <w:uiPriority w:val="9"/>
    <w:semiHidden/>
    <w:rsid w:val="003F549D"/>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F95EBD"/>
    <w:rPr>
      <w:rFonts w:asciiTheme="majorHAnsi" w:eastAsiaTheme="majorEastAsia" w:hAnsiTheme="majorHAnsi" w:cstheme="majorBidi"/>
      <w:color w:val="243F60" w:themeColor="accent1" w:themeShade="7F"/>
      <w:sz w:val="24"/>
      <w:szCs w:val="24"/>
    </w:rPr>
  </w:style>
  <w:style w:type="table" w:customStyle="1" w:styleId="CESCI2020Szurke1">
    <w:name w:val="CESCI_2020_Szurke1"/>
    <w:basedOn w:val="TableNormal"/>
    <w:uiPriority w:val="99"/>
    <w:rsid w:val="00264833"/>
    <w:pPr>
      <w:spacing w:after="0" w:line="240" w:lineRule="auto"/>
    </w:pPr>
    <w:rPr>
      <w:rFonts w:cs="Segoe UI"/>
      <w:lang w:val="hu-HU" w:eastAsia="hu-H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57" w:type="dxa"/>
        <w:bottom w:w="57" w:type="dxa"/>
      </w:tblCellMar>
    </w:tblPr>
    <w:tcPr>
      <w:vAlign w:val="center"/>
    </w:tcPr>
    <w:tblStylePr w:type="firstRow">
      <w:rPr>
        <w:b/>
      </w:rPr>
      <w:tblPr/>
      <w:trPr>
        <w:cantSplit/>
        <w:tblHeader/>
      </w:trPr>
      <w:tcPr>
        <w:shd w:val="clear" w:color="auto" w:fill="D9D9D9"/>
      </w:tcPr>
    </w:tblStylePr>
    <w:tblStylePr w:type="lastRow">
      <w:rPr>
        <w:b/>
      </w:rPr>
      <w:tblPr/>
      <w:tcPr>
        <w:shd w:val="clear" w:color="auto" w:fill="D9D9D9"/>
      </w:tcPr>
    </w:tblStylePr>
    <w:tblStylePr w:type="firstCol">
      <w:tblPr/>
      <w:tcPr>
        <w:shd w:val="clear" w:color="auto" w:fill="F2F2F2"/>
      </w:tcPr>
    </w:tblStylePr>
    <w:tblStylePr w:type="band2Vert">
      <w:tblPr/>
      <w:tcPr>
        <w:shd w:val="clear" w:color="auto" w:fill="F2F2F2"/>
      </w:tcPr>
    </w:tblStylePr>
    <w:tblStylePr w:type="band2Horz">
      <w:tblPr/>
      <w:tcPr>
        <w:shd w:val="clear" w:color="auto" w:fill="F2F2F2"/>
      </w:tcPr>
    </w:tblStyle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
    <w:link w:val="FootnoteReference"/>
    <w:uiPriority w:val="99"/>
    <w:rsid w:val="00834534"/>
    <w:pPr>
      <w:spacing w:after="160" w:line="240" w:lineRule="exact"/>
    </w:pPr>
    <w:rPr>
      <w:rFonts w:asciiTheme="minorHAnsi" w:hAnsiTheme="minorHAnsi"/>
      <w:vertAlign w:val="superscript"/>
    </w:rPr>
  </w:style>
  <w:style w:type="paragraph" w:customStyle="1" w:styleId="FooterCouncil">
    <w:name w:val="Footer Council"/>
    <w:basedOn w:val="Normal"/>
    <w:link w:val="FooterCouncilChar"/>
    <w:rsid w:val="00834534"/>
    <w:pPr>
      <w:spacing w:after="0" w:line="240" w:lineRule="auto"/>
    </w:pPr>
    <w:rPr>
      <w:rFonts w:cs="Times New Roman"/>
      <w:sz w:val="2"/>
    </w:rPr>
  </w:style>
  <w:style w:type="character" w:customStyle="1" w:styleId="FooterCouncilChar">
    <w:name w:val="Footer Council Char"/>
    <w:basedOn w:val="DefaultParagraphFont"/>
    <w:link w:val="FooterCouncil"/>
    <w:rsid w:val="00834534"/>
    <w:rPr>
      <w:rFonts w:ascii="Times New Roman" w:hAnsi="Times New Roman" w:cs="Times New Roman"/>
      <w:sz w:val="2"/>
    </w:rPr>
  </w:style>
  <w:style w:type="paragraph" w:customStyle="1" w:styleId="FooterText">
    <w:name w:val="Footer Text"/>
    <w:basedOn w:val="Normal"/>
    <w:rsid w:val="00834534"/>
    <w:pPr>
      <w:spacing w:after="0" w:line="240" w:lineRule="auto"/>
    </w:pPr>
    <w:rPr>
      <w:rFonts w:eastAsia="Times New Roman" w:cs="Times New Roman"/>
      <w:sz w:val="24"/>
      <w:szCs w:val="24"/>
    </w:rPr>
  </w:style>
  <w:style w:type="character" w:customStyle="1" w:styleId="Heading2Char">
    <w:name w:val="Heading 2 Char"/>
    <w:basedOn w:val="DefaultParagraphFont"/>
    <w:link w:val="Heading2"/>
    <w:uiPriority w:val="9"/>
    <w:semiHidden/>
    <w:rsid w:val="007660F8"/>
    <w:rPr>
      <w:rFonts w:asciiTheme="majorHAnsi" w:eastAsiaTheme="majorEastAsia" w:hAnsiTheme="majorHAnsi" w:cstheme="majorBidi"/>
      <w:color w:val="365F91" w:themeColor="accent1" w:themeShade="BF"/>
      <w:sz w:val="26"/>
      <w:szCs w:val="26"/>
    </w:rPr>
  </w:style>
  <w:style w:type="paragraph" w:styleId="EndnoteText">
    <w:name w:val="endnote text"/>
    <w:basedOn w:val="Normal"/>
    <w:link w:val="EndnoteTextChar"/>
    <w:uiPriority w:val="99"/>
    <w:semiHidden/>
    <w:unhideWhenUsed/>
    <w:rsid w:val="00C319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1952"/>
    <w:rPr>
      <w:rFonts w:ascii="Times New Roman" w:hAnsi="Times New Roman"/>
      <w:sz w:val="20"/>
      <w:szCs w:val="20"/>
    </w:rPr>
  </w:style>
  <w:style w:type="character" w:styleId="EndnoteReference">
    <w:name w:val="endnote reference"/>
    <w:basedOn w:val="DefaultParagraphFont"/>
    <w:uiPriority w:val="99"/>
    <w:semiHidden/>
    <w:unhideWhenUsed/>
    <w:rsid w:val="00C31952"/>
    <w:rPr>
      <w:vertAlign w:val="superscript"/>
    </w:rPr>
  </w:style>
  <w:style w:type="paragraph" w:customStyle="1" w:styleId="Tabletext">
    <w:name w:val="Table text"/>
    <w:basedOn w:val="Normal"/>
    <w:link w:val="TabletextZchn"/>
    <w:qFormat/>
    <w:rsid w:val="002A387C"/>
    <w:pPr>
      <w:tabs>
        <w:tab w:val="left" w:pos="7633"/>
      </w:tabs>
      <w:spacing w:before="60" w:after="120" w:line="259" w:lineRule="auto"/>
      <w:jc w:val="both"/>
    </w:pPr>
    <w:rPr>
      <w:rFonts w:ascii="Verdana" w:eastAsia="Calibri" w:hAnsi="Verdana" w:cs="Times New Roman"/>
      <w:noProof/>
      <w:sz w:val="20"/>
      <w:szCs w:val="20"/>
      <w:lang w:eastAsia="en-GB"/>
    </w:rPr>
  </w:style>
  <w:style w:type="character" w:customStyle="1" w:styleId="TabletextZchn">
    <w:name w:val="Table text Zchn"/>
    <w:link w:val="Tabletext"/>
    <w:rsid w:val="002A387C"/>
    <w:rPr>
      <w:rFonts w:ascii="Verdana" w:eastAsia="Calibri" w:hAnsi="Verdana" w:cs="Times New Roman"/>
      <w:noProof/>
      <w:sz w:val="20"/>
      <w:szCs w:val="20"/>
      <w:lang w:eastAsia="en-GB"/>
    </w:rPr>
  </w:style>
  <w:style w:type="paragraph" w:customStyle="1" w:styleId="TableParagraph">
    <w:name w:val="Table Paragraph"/>
    <w:basedOn w:val="Normal"/>
    <w:uiPriority w:val="1"/>
    <w:qFormat/>
    <w:rsid w:val="00AF2D8C"/>
    <w:pPr>
      <w:widowControl w:val="0"/>
      <w:autoSpaceDE w:val="0"/>
      <w:autoSpaceDN w:val="0"/>
      <w:spacing w:after="0" w:line="240" w:lineRule="auto"/>
    </w:pPr>
    <w:rPr>
      <w:rFonts w:ascii="Cambria" w:eastAsia="Cambria" w:hAnsi="Cambria" w:cs="Cambria"/>
      <w:lang w:val="en-US"/>
    </w:rPr>
  </w:style>
  <w:style w:type="paragraph" w:styleId="BodyText">
    <w:name w:val="Body Text"/>
    <w:basedOn w:val="Normal"/>
    <w:link w:val="BodyTextChar"/>
    <w:uiPriority w:val="1"/>
    <w:qFormat/>
    <w:rsid w:val="00AF2D8C"/>
    <w:pPr>
      <w:widowControl w:val="0"/>
      <w:autoSpaceDE w:val="0"/>
      <w:autoSpaceDN w:val="0"/>
      <w:spacing w:after="0" w:line="240" w:lineRule="auto"/>
    </w:pPr>
    <w:rPr>
      <w:rFonts w:ascii="Cambria" w:eastAsia="Cambria" w:hAnsi="Cambria" w:cs="Cambria"/>
      <w:sz w:val="19"/>
      <w:szCs w:val="19"/>
      <w:lang w:val="en-US"/>
    </w:rPr>
  </w:style>
  <w:style w:type="character" w:customStyle="1" w:styleId="BodyTextChar">
    <w:name w:val="Body Text Char"/>
    <w:basedOn w:val="DefaultParagraphFont"/>
    <w:link w:val="BodyText"/>
    <w:uiPriority w:val="1"/>
    <w:rsid w:val="00AF2D8C"/>
    <w:rPr>
      <w:rFonts w:ascii="Cambria" w:eastAsia="Cambria" w:hAnsi="Cambria" w:cs="Cambria"/>
      <w:sz w:val="19"/>
      <w:szCs w:val="19"/>
      <w:lang w:val="en-US"/>
    </w:rPr>
  </w:style>
  <w:style w:type="character" w:customStyle="1" w:styleId="Heading1Char">
    <w:name w:val="Heading 1 Char"/>
    <w:basedOn w:val="DefaultParagraphFont"/>
    <w:link w:val="Heading1"/>
    <w:uiPriority w:val="9"/>
    <w:rsid w:val="00F97D8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6831">
      <w:bodyDiv w:val="1"/>
      <w:marLeft w:val="0"/>
      <w:marRight w:val="0"/>
      <w:marTop w:val="0"/>
      <w:marBottom w:val="0"/>
      <w:divBdr>
        <w:top w:val="none" w:sz="0" w:space="0" w:color="auto"/>
        <w:left w:val="none" w:sz="0" w:space="0" w:color="auto"/>
        <w:bottom w:val="none" w:sz="0" w:space="0" w:color="auto"/>
        <w:right w:val="none" w:sz="0" w:space="0" w:color="auto"/>
      </w:divBdr>
    </w:div>
    <w:div w:id="30494352">
      <w:bodyDiv w:val="1"/>
      <w:marLeft w:val="0"/>
      <w:marRight w:val="0"/>
      <w:marTop w:val="0"/>
      <w:marBottom w:val="0"/>
      <w:divBdr>
        <w:top w:val="none" w:sz="0" w:space="0" w:color="auto"/>
        <w:left w:val="none" w:sz="0" w:space="0" w:color="auto"/>
        <w:bottom w:val="none" w:sz="0" w:space="0" w:color="auto"/>
        <w:right w:val="none" w:sz="0" w:space="0" w:color="auto"/>
      </w:divBdr>
    </w:div>
    <w:div w:id="54208340">
      <w:bodyDiv w:val="1"/>
      <w:marLeft w:val="0"/>
      <w:marRight w:val="0"/>
      <w:marTop w:val="0"/>
      <w:marBottom w:val="0"/>
      <w:divBdr>
        <w:top w:val="none" w:sz="0" w:space="0" w:color="auto"/>
        <w:left w:val="none" w:sz="0" w:space="0" w:color="auto"/>
        <w:bottom w:val="none" w:sz="0" w:space="0" w:color="auto"/>
        <w:right w:val="none" w:sz="0" w:space="0" w:color="auto"/>
      </w:divBdr>
    </w:div>
    <w:div w:id="94522587">
      <w:bodyDiv w:val="1"/>
      <w:marLeft w:val="0"/>
      <w:marRight w:val="0"/>
      <w:marTop w:val="0"/>
      <w:marBottom w:val="0"/>
      <w:divBdr>
        <w:top w:val="none" w:sz="0" w:space="0" w:color="auto"/>
        <w:left w:val="none" w:sz="0" w:space="0" w:color="auto"/>
        <w:bottom w:val="none" w:sz="0" w:space="0" w:color="auto"/>
        <w:right w:val="none" w:sz="0" w:space="0" w:color="auto"/>
      </w:divBdr>
    </w:div>
    <w:div w:id="350179573">
      <w:bodyDiv w:val="1"/>
      <w:marLeft w:val="0"/>
      <w:marRight w:val="0"/>
      <w:marTop w:val="0"/>
      <w:marBottom w:val="0"/>
      <w:divBdr>
        <w:top w:val="none" w:sz="0" w:space="0" w:color="auto"/>
        <w:left w:val="none" w:sz="0" w:space="0" w:color="auto"/>
        <w:bottom w:val="none" w:sz="0" w:space="0" w:color="auto"/>
        <w:right w:val="none" w:sz="0" w:space="0" w:color="auto"/>
      </w:divBdr>
    </w:div>
    <w:div w:id="552078185">
      <w:bodyDiv w:val="1"/>
      <w:marLeft w:val="0"/>
      <w:marRight w:val="0"/>
      <w:marTop w:val="0"/>
      <w:marBottom w:val="0"/>
      <w:divBdr>
        <w:top w:val="none" w:sz="0" w:space="0" w:color="auto"/>
        <w:left w:val="none" w:sz="0" w:space="0" w:color="auto"/>
        <w:bottom w:val="none" w:sz="0" w:space="0" w:color="auto"/>
        <w:right w:val="none" w:sz="0" w:space="0" w:color="auto"/>
      </w:divBdr>
    </w:div>
    <w:div w:id="635263963">
      <w:bodyDiv w:val="1"/>
      <w:marLeft w:val="0"/>
      <w:marRight w:val="0"/>
      <w:marTop w:val="0"/>
      <w:marBottom w:val="0"/>
      <w:divBdr>
        <w:top w:val="none" w:sz="0" w:space="0" w:color="auto"/>
        <w:left w:val="none" w:sz="0" w:space="0" w:color="auto"/>
        <w:bottom w:val="none" w:sz="0" w:space="0" w:color="auto"/>
        <w:right w:val="none" w:sz="0" w:space="0" w:color="auto"/>
      </w:divBdr>
    </w:div>
    <w:div w:id="653484214">
      <w:bodyDiv w:val="1"/>
      <w:marLeft w:val="0"/>
      <w:marRight w:val="0"/>
      <w:marTop w:val="0"/>
      <w:marBottom w:val="0"/>
      <w:divBdr>
        <w:top w:val="none" w:sz="0" w:space="0" w:color="auto"/>
        <w:left w:val="none" w:sz="0" w:space="0" w:color="auto"/>
        <w:bottom w:val="none" w:sz="0" w:space="0" w:color="auto"/>
        <w:right w:val="none" w:sz="0" w:space="0" w:color="auto"/>
      </w:divBdr>
    </w:div>
    <w:div w:id="700205169">
      <w:bodyDiv w:val="1"/>
      <w:marLeft w:val="0"/>
      <w:marRight w:val="0"/>
      <w:marTop w:val="0"/>
      <w:marBottom w:val="0"/>
      <w:divBdr>
        <w:top w:val="none" w:sz="0" w:space="0" w:color="auto"/>
        <w:left w:val="none" w:sz="0" w:space="0" w:color="auto"/>
        <w:bottom w:val="none" w:sz="0" w:space="0" w:color="auto"/>
        <w:right w:val="none" w:sz="0" w:space="0" w:color="auto"/>
      </w:divBdr>
    </w:div>
    <w:div w:id="719289066">
      <w:bodyDiv w:val="1"/>
      <w:marLeft w:val="0"/>
      <w:marRight w:val="0"/>
      <w:marTop w:val="0"/>
      <w:marBottom w:val="0"/>
      <w:divBdr>
        <w:top w:val="none" w:sz="0" w:space="0" w:color="auto"/>
        <w:left w:val="none" w:sz="0" w:space="0" w:color="auto"/>
        <w:bottom w:val="none" w:sz="0" w:space="0" w:color="auto"/>
        <w:right w:val="none" w:sz="0" w:space="0" w:color="auto"/>
      </w:divBdr>
    </w:div>
    <w:div w:id="862136269">
      <w:bodyDiv w:val="1"/>
      <w:marLeft w:val="0"/>
      <w:marRight w:val="0"/>
      <w:marTop w:val="0"/>
      <w:marBottom w:val="0"/>
      <w:divBdr>
        <w:top w:val="none" w:sz="0" w:space="0" w:color="auto"/>
        <w:left w:val="none" w:sz="0" w:space="0" w:color="auto"/>
        <w:bottom w:val="none" w:sz="0" w:space="0" w:color="auto"/>
        <w:right w:val="none" w:sz="0" w:space="0" w:color="auto"/>
      </w:divBdr>
    </w:div>
    <w:div w:id="913005977">
      <w:bodyDiv w:val="1"/>
      <w:marLeft w:val="0"/>
      <w:marRight w:val="0"/>
      <w:marTop w:val="0"/>
      <w:marBottom w:val="0"/>
      <w:divBdr>
        <w:top w:val="none" w:sz="0" w:space="0" w:color="auto"/>
        <w:left w:val="none" w:sz="0" w:space="0" w:color="auto"/>
        <w:bottom w:val="none" w:sz="0" w:space="0" w:color="auto"/>
        <w:right w:val="none" w:sz="0" w:space="0" w:color="auto"/>
      </w:divBdr>
    </w:div>
    <w:div w:id="1117412390">
      <w:bodyDiv w:val="1"/>
      <w:marLeft w:val="0"/>
      <w:marRight w:val="0"/>
      <w:marTop w:val="0"/>
      <w:marBottom w:val="0"/>
      <w:divBdr>
        <w:top w:val="none" w:sz="0" w:space="0" w:color="auto"/>
        <w:left w:val="none" w:sz="0" w:space="0" w:color="auto"/>
        <w:bottom w:val="none" w:sz="0" w:space="0" w:color="auto"/>
        <w:right w:val="none" w:sz="0" w:space="0" w:color="auto"/>
      </w:divBdr>
    </w:div>
    <w:div w:id="1160467127">
      <w:bodyDiv w:val="1"/>
      <w:marLeft w:val="0"/>
      <w:marRight w:val="0"/>
      <w:marTop w:val="0"/>
      <w:marBottom w:val="0"/>
      <w:divBdr>
        <w:top w:val="none" w:sz="0" w:space="0" w:color="auto"/>
        <w:left w:val="none" w:sz="0" w:space="0" w:color="auto"/>
        <w:bottom w:val="none" w:sz="0" w:space="0" w:color="auto"/>
        <w:right w:val="none" w:sz="0" w:space="0" w:color="auto"/>
      </w:divBdr>
    </w:div>
    <w:div w:id="1263076037">
      <w:bodyDiv w:val="1"/>
      <w:marLeft w:val="0"/>
      <w:marRight w:val="0"/>
      <w:marTop w:val="0"/>
      <w:marBottom w:val="0"/>
      <w:divBdr>
        <w:top w:val="none" w:sz="0" w:space="0" w:color="auto"/>
        <w:left w:val="none" w:sz="0" w:space="0" w:color="auto"/>
        <w:bottom w:val="none" w:sz="0" w:space="0" w:color="auto"/>
        <w:right w:val="none" w:sz="0" w:space="0" w:color="auto"/>
      </w:divBdr>
    </w:div>
    <w:div w:id="1380088674">
      <w:bodyDiv w:val="1"/>
      <w:marLeft w:val="0"/>
      <w:marRight w:val="0"/>
      <w:marTop w:val="0"/>
      <w:marBottom w:val="0"/>
      <w:divBdr>
        <w:top w:val="none" w:sz="0" w:space="0" w:color="auto"/>
        <w:left w:val="none" w:sz="0" w:space="0" w:color="auto"/>
        <w:bottom w:val="none" w:sz="0" w:space="0" w:color="auto"/>
        <w:right w:val="none" w:sz="0" w:space="0" w:color="auto"/>
      </w:divBdr>
    </w:div>
    <w:div w:id="1429890926">
      <w:bodyDiv w:val="1"/>
      <w:marLeft w:val="0"/>
      <w:marRight w:val="0"/>
      <w:marTop w:val="0"/>
      <w:marBottom w:val="0"/>
      <w:divBdr>
        <w:top w:val="none" w:sz="0" w:space="0" w:color="auto"/>
        <w:left w:val="none" w:sz="0" w:space="0" w:color="auto"/>
        <w:bottom w:val="none" w:sz="0" w:space="0" w:color="auto"/>
        <w:right w:val="none" w:sz="0" w:space="0" w:color="auto"/>
      </w:divBdr>
    </w:div>
    <w:div w:id="1520312923">
      <w:bodyDiv w:val="1"/>
      <w:marLeft w:val="0"/>
      <w:marRight w:val="0"/>
      <w:marTop w:val="0"/>
      <w:marBottom w:val="0"/>
      <w:divBdr>
        <w:top w:val="none" w:sz="0" w:space="0" w:color="auto"/>
        <w:left w:val="none" w:sz="0" w:space="0" w:color="auto"/>
        <w:bottom w:val="none" w:sz="0" w:space="0" w:color="auto"/>
        <w:right w:val="none" w:sz="0" w:space="0" w:color="auto"/>
      </w:divBdr>
    </w:div>
    <w:div w:id="1572616343">
      <w:bodyDiv w:val="1"/>
      <w:marLeft w:val="0"/>
      <w:marRight w:val="0"/>
      <w:marTop w:val="0"/>
      <w:marBottom w:val="0"/>
      <w:divBdr>
        <w:top w:val="none" w:sz="0" w:space="0" w:color="auto"/>
        <w:left w:val="none" w:sz="0" w:space="0" w:color="auto"/>
        <w:bottom w:val="none" w:sz="0" w:space="0" w:color="auto"/>
        <w:right w:val="none" w:sz="0" w:space="0" w:color="auto"/>
      </w:divBdr>
    </w:div>
    <w:div w:id="1635405243">
      <w:bodyDiv w:val="1"/>
      <w:marLeft w:val="0"/>
      <w:marRight w:val="0"/>
      <w:marTop w:val="0"/>
      <w:marBottom w:val="0"/>
      <w:divBdr>
        <w:top w:val="none" w:sz="0" w:space="0" w:color="auto"/>
        <w:left w:val="none" w:sz="0" w:space="0" w:color="auto"/>
        <w:bottom w:val="none" w:sz="0" w:space="0" w:color="auto"/>
        <w:right w:val="none" w:sz="0" w:space="0" w:color="auto"/>
      </w:divBdr>
    </w:div>
    <w:div w:id="1698312265">
      <w:bodyDiv w:val="1"/>
      <w:marLeft w:val="0"/>
      <w:marRight w:val="0"/>
      <w:marTop w:val="0"/>
      <w:marBottom w:val="0"/>
      <w:divBdr>
        <w:top w:val="none" w:sz="0" w:space="0" w:color="auto"/>
        <w:left w:val="none" w:sz="0" w:space="0" w:color="auto"/>
        <w:bottom w:val="none" w:sz="0" w:space="0" w:color="auto"/>
        <w:right w:val="none" w:sz="0" w:space="0" w:color="auto"/>
      </w:divBdr>
    </w:div>
    <w:div w:id="1762682568">
      <w:bodyDiv w:val="1"/>
      <w:marLeft w:val="0"/>
      <w:marRight w:val="0"/>
      <w:marTop w:val="0"/>
      <w:marBottom w:val="0"/>
      <w:divBdr>
        <w:top w:val="none" w:sz="0" w:space="0" w:color="auto"/>
        <w:left w:val="none" w:sz="0" w:space="0" w:color="auto"/>
        <w:bottom w:val="none" w:sz="0" w:space="0" w:color="auto"/>
        <w:right w:val="none" w:sz="0" w:space="0" w:color="auto"/>
      </w:divBdr>
    </w:div>
    <w:div w:id="1762988072">
      <w:bodyDiv w:val="1"/>
      <w:marLeft w:val="0"/>
      <w:marRight w:val="0"/>
      <w:marTop w:val="0"/>
      <w:marBottom w:val="0"/>
      <w:divBdr>
        <w:top w:val="none" w:sz="0" w:space="0" w:color="auto"/>
        <w:left w:val="none" w:sz="0" w:space="0" w:color="auto"/>
        <w:bottom w:val="none" w:sz="0" w:space="0" w:color="auto"/>
        <w:right w:val="none" w:sz="0" w:space="0" w:color="auto"/>
      </w:divBdr>
    </w:div>
    <w:div w:id="1830706714">
      <w:bodyDiv w:val="1"/>
      <w:marLeft w:val="0"/>
      <w:marRight w:val="0"/>
      <w:marTop w:val="0"/>
      <w:marBottom w:val="0"/>
      <w:divBdr>
        <w:top w:val="none" w:sz="0" w:space="0" w:color="auto"/>
        <w:left w:val="none" w:sz="0" w:space="0" w:color="auto"/>
        <w:bottom w:val="none" w:sz="0" w:space="0" w:color="auto"/>
        <w:right w:val="none" w:sz="0" w:space="0" w:color="auto"/>
      </w:divBdr>
    </w:div>
    <w:div w:id="1963807527">
      <w:bodyDiv w:val="1"/>
      <w:marLeft w:val="0"/>
      <w:marRight w:val="0"/>
      <w:marTop w:val="0"/>
      <w:marBottom w:val="0"/>
      <w:divBdr>
        <w:top w:val="none" w:sz="0" w:space="0" w:color="auto"/>
        <w:left w:val="none" w:sz="0" w:space="0" w:color="auto"/>
        <w:bottom w:val="none" w:sz="0" w:space="0" w:color="auto"/>
        <w:right w:val="none" w:sz="0" w:space="0" w:color="auto"/>
      </w:divBdr>
    </w:div>
    <w:div w:id="1982073208">
      <w:bodyDiv w:val="1"/>
      <w:marLeft w:val="0"/>
      <w:marRight w:val="0"/>
      <w:marTop w:val="0"/>
      <w:marBottom w:val="0"/>
      <w:divBdr>
        <w:top w:val="none" w:sz="0" w:space="0" w:color="auto"/>
        <w:left w:val="none" w:sz="0" w:space="0" w:color="auto"/>
        <w:bottom w:val="none" w:sz="0" w:space="0" w:color="auto"/>
        <w:right w:val="none" w:sz="0" w:space="0" w:color="auto"/>
      </w:divBdr>
    </w:div>
    <w:div w:id="2006661172">
      <w:bodyDiv w:val="1"/>
      <w:marLeft w:val="0"/>
      <w:marRight w:val="0"/>
      <w:marTop w:val="0"/>
      <w:marBottom w:val="0"/>
      <w:divBdr>
        <w:top w:val="none" w:sz="0" w:space="0" w:color="auto"/>
        <w:left w:val="none" w:sz="0" w:space="0" w:color="auto"/>
        <w:bottom w:val="none" w:sz="0" w:space="0" w:color="auto"/>
        <w:right w:val="none" w:sz="0" w:space="0" w:color="auto"/>
      </w:divBdr>
    </w:div>
    <w:div w:id="2028168534">
      <w:bodyDiv w:val="1"/>
      <w:marLeft w:val="0"/>
      <w:marRight w:val="0"/>
      <w:marTop w:val="0"/>
      <w:marBottom w:val="0"/>
      <w:divBdr>
        <w:top w:val="none" w:sz="0" w:space="0" w:color="auto"/>
        <w:left w:val="none" w:sz="0" w:space="0" w:color="auto"/>
        <w:bottom w:val="none" w:sz="0" w:space="0" w:color="auto"/>
        <w:right w:val="none" w:sz="0" w:space="0" w:color="auto"/>
      </w:divBdr>
    </w:div>
    <w:div w:id="206074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footer" Target="footer19.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0.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footer" Target="footer20.xml"/><Relationship Id="rId10" Type="http://schemas.openxmlformats.org/officeDocument/2006/relationships/hyperlink" Target="https://eur-lex.europa.eu/legal-content/EN/TXT/?qid=1603122220757&amp;uri=CELEX:52020DC0662" TargetMode="External"/><Relationship Id="rId19" Type="http://schemas.openxmlformats.org/officeDocument/2006/relationships/image" Target="media/image1.jpeg"/><Relationship Id="rId31" Type="http://schemas.openxmlformats.org/officeDocument/2006/relationships/footer" Target="footer11.xml"/><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20.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header" Target="header15.xml"/><Relationship Id="rId46" Type="http://schemas.openxmlformats.org/officeDocument/2006/relationships/footer" Target="footer18.xml"/><Relationship Id="rId20" Type="http://schemas.openxmlformats.org/officeDocument/2006/relationships/header" Target="header6.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muraregio.eu/mukobrid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3B325-2781-4914-A9B9-35CFDB1B3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26764</Words>
  <Characters>152557</Characters>
  <Application>Microsoft Office Word</Application>
  <DocSecurity>0</DocSecurity>
  <Lines>1271</Lines>
  <Paragraphs>357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European Commission</Company>
  <LinksUpToDate>false</LinksUpToDate>
  <CharactersWithSpaces>178964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MEIJER Martine (ECFIN)</dc:creator>
  <cp:keywords/>
  <dc:description/>
  <cp:lastModifiedBy>Juraj Šutej</cp:lastModifiedBy>
  <cp:revision>2</cp:revision>
  <cp:lastPrinted>2022-03-30T08:18:00Z</cp:lastPrinted>
  <dcterms:created xsi:type="dcterms:W3CDTF">2022-04-26T21:04:00Z</dcterms:created>
  <dcterms:modified xsi:type="dcterms:W3CDTF">2022-04-26T21:04:00Z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